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F933" w14:textId="65DF34AA" w:rsidR="00A36BC6" w:rsidRPr="009C3721" w:rsidRDefault="00277A36" w:rsidP="009C3721">
      <w:pPr>
        <w:pStyle w:val="Heading1"/>
      </w:pPr>
      <w:r>
        <w:t xml:space="preserve">Literacy and </w:t>
      </w:r>
      <w:r w:rsidR="008B5936">
        <w:t>n</w:t>
      </w:r>
      <w:r>
        <w:t xml:space="preserve">umeracy </w:t>
      </w:r>
      <w:r w:rsidR="008B5936">
        <w:t>t</w:t>
      </w:r>
      <w:r>
        <w:t xml:space="preserve">eaching </w:t>
      </w:r>
      <w:r w:rsidR="008B5936">
        <w:t>s</w:t>
      </w:r>
      <w:r>
        <w:t>trategies</w:t>
      </w:r>
      <w:r w:rsidR="0013780E" w:rsidRPr="009C3721">
        <w:br/>
      </w:r>
      <w:r w:rsidR="00E378ED">
        <w:rPr>
          <w:b w:val="0"/>
        </w:rPr>
        <w:t>Guide for using resources</w:t>
      </w:r>
    </w:p>
    <w:p w14:paraId="3EB7DE3D" w14:textId="368D81E1" w:rsidR="00FE3AB8" w:rsidRPr="00A34F12" w:rsidRDefault="00277A36" w:rsidP="00A34F12">
      <w:pPr>
        <w:pStyle w:val="Heading2"/>
      </w:pPr>
      <w:r w:rsidRPr="00A34F12">
        <w:t>Purpose</w:t>
      </w:r>
    </w:p>
    <w:p w14:paraId="723DAE4F" w14:textId="77777777" w:rsidR="004C6CB2" w:rsidRDefault="004C6CB2" w:rsidP="000D74C6">
      <w:pPr>
        <w:spacing w:line="360" w:lineRule="auto"/>
      </w:pPr>
      <w:r w:rsidRPr="004C6CB2">
        <w:t>Literacy and numeracy teaching strategies support teaching and learning from Stage 2 to Stage 5. They are linked to NAPLAN task descriptors, syllabus outcomes and literacy and numeracy learning progressions.</w:t>
      </w:r>
    </w:p>
    <w:p w14:paraId="0112E495" w14:textId="77777777" w:rsidR="004C6CB2" w:rsidRDefault="004C6CB2" w:rsidP="004C6CB2">
      <w:pPr>
        <w:spacing w:line="360" w:lineRule="auto"/>
      </w:pPr>
      <w:r w:rsidRPr="004C6CB2">
        <w:t xml:space="preserve">These teaching strategies target specific literacy and numeracy skills and suggest a learning sequence to build skill development. Teachers can select individual tasks or a sequence to suit their students. </w:t>
      </w:r>
    </w:p>
    <w:p w14:paraId="4BA90DD1" w14:textId="4CD7CE0B" w:rsidR="009D781C" w:rsidRPr="00A34F12" w:rsidRDefault="009D781C" w:rsidP="00A34F12">
      <w:pPr>
        <w:pStyle w:val="Heading3"/>
      </w:pPr>
      <w:r w:rsidRPr="00A34F12">
        <w:t>Access points</w:t>
      </w:r>
    </w:p>
    <w:p w14:paraId="07C7CFB3" w14:textId="5C147A4A" w:rsidR="00E378ED" w:rsidRDefault="00E378ED" w:rsidP="00E378ED">
      <w:pPr>
        <w:spacing w:line="360" w:lineRule="auto"/>
      </w:pPr>
      <w:r>
        <w:t>The resources can be accessed from:</w:t>
      </w:r>
    </w:p>
    <w:p w14:paraId="6495A8AD" w14:textId="66770159" w:rsidR="009D781C" w:rsidRDefault="00D50206" w:rsidP="009D781C">
      <w:pPr>
        <w:pStyle w:val="ListParagraph"/>
        <w:numPr>
          <w:ilvl w:val="0"/>
          <w:numId w:val="37"/>
        </w:numPr>
        <w:spacing w:line="360" w:lineRule="auto"/>
      </w:pPr>
      <w:r>
        <w:t xml:space="preserve">NAPLAN App in </w:t>
      </w:r>
      <w:r w:rsidR="009D781C">
        <w:t>S</w:t>
      </w:r>
      <w:r>
        <w:t xml:space="preserve">cout using the </w:t>
      </w:r>
      <w:r w:rsidR="009D781C">
        <w:t>teaching strategy link</w:t>
      </w:r>
      <w:r>
        <w:t>s from NAPLAN items</w:t>
      </w:r>
    </w:p>
    <w:p w14:paraId="0561E37C" w14:textId="4CDDFC7F" w:rsidR="009D781C" w:rsidRPr="009D781C" w:rsidRDefault="009D781C" w:rsidP="009D781C">
      <w:pPr>
        <w:pStyle w:val="ListParagraph"/>
        <w:numPr>
          <w:ilvl w:val="0"/>
          <w:numId w:val="37"/>
        </w:numPr>
        <w:spacing w:line="360" w:lineRule="auto"/>
      </w:pPr>
      <w:r>
        <w:t>NSW Department of Education</w:t>
      </w:r>
      <w:r w:rsidR="00344173">
        <w:t xml:space="preserve"> literacy and numeracy </w:t>
      </w:r>
      <w:hyperlink r:id="rId11" w:history="1">
        <w:r w:rsidR="00344173" w:rsidRPr="004C6CB2">
          <w:rPr>
            <w:rStyle w:val="Hyperlink"/>
          </w:rPr>
          <w:t>website</w:t>
        </w:r>
      </w:hyperlink>
    </w:p>
    <w:p w14:paraId="1F18E956" w14:textId="163A8475" w:rsidR="008B62C6" w:rsidRDefault="00E378ED" w:rsidP="00ED4002">
      <w:pPr>
        <w:pStyle w:val="Heading2"/>
        <w:spacing w:before="120"/>
      </w:pPr>
      <w:r>
        <w:t>Features</w:t>
      </w:r>
    </w:p>
    <w:p w14:paraId="24FE7034" w14:textId="79AA39F0" w:rsidR="00E378ED" w:rsidRPr="00E378ED" w:rsidRDefault="00E378ED" w:rsidP="00E378ED">
      <w:r>
        <w:t>Each teaching strategy has the following features:</w:t>
      </w:r>
    </w:p>
    <w:tbl>
      <w:tblPr>
        <w:tblStyle w:val="TableGrid"/>
        <w:tblW w:w="0" w:type="auto"/>
        <w:jc w:val="center"/>
        <w:tblLook w:val="04A0" w:firstRow="1" w:lastRow="0" w:firstColumn="1" w:lastColumn="0" w:noHBand="0" w:noVBand="1"/>
        <w:tblDescription w:val="Each teaching strategy has the following features:"/>
      </w:tblPr>
      <w:tblGrid>
        <w:gridCol w:w="2405"/>
        <w:gridCol w:w="8125"/>
      </w:tblGrid>
      <w:tr w:rsidR="005D40C4" w14:paraId="6D5CBD4A" w14:textId="77777777" w:rsidTr="005113FC">
        <w:trPr>
          <w:tblHeader/>
          <w:jc w:val="center"/>
        </w:trPr>
        <w:tc>
          <w:tcPr>
            <w:tcW w:w="2405" w:type="dxa"/>
          </w:tcPr>
          <w:p w14:paraId="0AE053E0" w14:textId="1F086D03" w:rsidR="005D40C4" w:rsidRPr="005D40C4" w:rsidRDefault="005D40C4" w:rsidP="008B62C6">
            <w:pPr>
              <w:rPr>
                <w:b/>
              </w:rPr>
            </w:pPr>
            <w:r w:rsidRPr="005D40C4">
              <w:rPr>
                <w:b/>
              </w:rPr>
              <w:t xml:space="preserve">Feature </w:t>
            </w:r>
          </w:p>
        </w:tc>
        <w:tc>
          <w:tcPr>
            <w:tcW w:w="8125" w:type="dxa"/>
          </w:tcPr>
          <w:p w14:paraId="5AFE6B06" w14:textId="0B7233EA" w:rsidR="005D40C4" w:rsidRPr="005D40C4" w:rsidRDefault="005D40C4" w:rsidP="005D40C4">
            <w:pPr>
              <w:ind w:left="360"/>
              <w:rPr>
                <w:b/>
              </w:rPr>
            </w:pPr>
            <w:r w:rsidRPr="005D40C4">
              <w:rPr>
                <w:b/>
              </w:rPr>
              <w:t>Description</w:t>
            </w:r>
          </w:p>
        </w:tc>
      </w:tr>
      <w:tr w:rsidR="008B62C6" w14:paraId="31DEE1DF" w14:textId="77777777" w:rsidTr="005113FC">
        <w:trPr>
          <w:jc w:val="center"/>
        </w:trPr>
        <w:tc>
          <w:tcPr>
            <w:tcW w:w="2405" w:type="dxa"/>
          </w:tcPr>
          <w:p w14:paraId="1E0734A4" w14:textId="798E9457" w:rsidR="008B62C6" w:rsidRDefault="008B62C6" w:rsidP="008B62C6">
            <w:r>
              <w:t>Title</w:t>
            </w:r>
          </w:p>
        </w:tc>
        <w:tc>
          <w:tcPr>
            <w:tcW w:w="8125" w:type="dxa"/>
          </w:tcPr>
          <w:p w14:paraId="61BDF677" w14:textId="25035D23" w:rsidR="008B62C6" w:rsidRDefault="008B62C6" w:rsidP="008B62C6">
            <w:pPr>
              <w:pStyle w:val="ListParagraph"/>
              <w:numPr>
                <w:ilvl w:val="0"/>
                <w:numId w:val="41"/>
              </w:numPr>
            </w:pPr>
            <w:r>
              <w:t>focus skill</w:t>
            </w:r>
          </w:p>
          <w:p w14:paraId="157B2FA1" w14:textId="64F7CE86" w:rsidR="008B62C6" w:rsidRDefault="008B62C6" w:rsidP="008B62C6">
            <w:pPr>
              <w:pStyle w:val="ListParagraph"/>
              <w:numPr>
                <w:ilvl w:val="0"/>
                <w:numId w:val="41"/>
              </w:numPr>
            </w:pPr>
            <w:r>
              <w:t>reference to stage</w:t>
            </w:r>
          </w:p>
        </w:tc>
      </w:tr>
      <w:tr w:rsidR="008B62C6" w14:paraId="054868A4" w14:textId="77777777" w:rsidTr="005113FC">
        <w:trPr>
          <w:jc w:val="center"/>
        </w:trPr>
        <w:tc>
          <w:tcPr>
            <w:tcW w:w="2405" w:type="dxa"/>
          </w:tcPr>
          <w:p w14:paraId="4E8BEC32" w14:textId="2998274E" w:rsidR="008B62C6" w:rsidRDefault="008B62C6" w:rsidP="008B62C6">
            <w:r>
              <w:t>Learning focus</w:t>
            </w:r>
          </w:p>
        </w:tc>
        <w:tc>
          <w:tcPr>
            <w:tcW w:w="8125" w:type="dxa"/>
          </w:tcPr>
          <w:p w14:paraId="3D8C8891" w14:textId="77777777" w:rsidR="008B62C6" w:rsidRDefault="008B62C6" w:rsidP="008B62C6">
            <w:pPr>
              <w:pStyle w:val="ListParagraph"/>
              <w:numPr>
                <w:ilvl w:val="0"/>
                <w:numId w:val="42"/>
              </w:numPr>
            </w:pPr>
            <w:r>
              <w:t>focus of the learning sequence</w:t>
            </w:r>
          </w:p>
          <w:p w14:paraId="68F11F3D" w14:textId="7EFAB4D5" w:rsidR="008B62C6" w:rsidRDefault="00E378ED" w:rsidP="00E378ED">
            <w:pPr>
              <w:pStyle w:val="ListParagraph"/>
              <w:numPr>
                <w:ilvl w:val="0"/>
                <w:numId w:val="42"/>
              </w:numPr>
            </w:pPr>
            <w:r>
              <w:t>may</w:t>
            </w:r>
            <w:r w:rsidR="008B62C6">
              <w:t xml:space="preserve"> be </w:t>
            </w:r>
            <w:r>
              <w:t>framed</w:t>
            </w:r>
            <w:r w:rsidR="008B62C6">
              <w:t xml:space="preserve"> as a learning intention</w:t>
            </w:r>
          </w:p>
        </w:tc>
      </w:tr>
      <w:tr w:rsidR="008B62C6" w14:paraId="47103BDD" w14:textId="77777777" w:rsidTr="005113FC">
        <w:trPr>
          <w:jc w:val="center"/>
        </w:trPr>
        <w:tc>
          <w:tcPr>
            <w:tcW w:w="2405" w:type="dxa"/>
          </w:tcPr>
          <w:p w14:paraId="45E30A42" w14:textId="4928C795" w:rsidR="008B62C6" w:rsidRDefault="008B62C6" w:rsidP="008B62C6">
            <w:r>
              <w:t>Syllabus outcomes</w:t>
            </w:r>
          </w:p>
        </w:tc>
        <w:tc>
          <w:tcPr>
            <w:tcW w:w="8125" w:type="dxa"/>
          </w:tcPr>
          <w:p w14:paraId="2CADEDED" w14:textId="72F84B4F" w:rsidR="008B62C6" w:rsidRDefault="008B62C6" w:rsidP="008B62C6">
            <w:pPr>
              <w:pStyle w:val="ListParagraph"/>
              <w:numPr>
                <w:ilvl w:val="0"/>
                <w:numId w:val="43"/>
              </w:numPr>
            </w:pPr>
            <w:r>
              <w:t xml:space="preserve">targeted outcomes </w:t>
            </w:r>
            <w:r w:rsidR="00B9109F">
              <w:t xml:space="preserve">from </w:t>
            </w:r>
            <w:r>
              <w:t>English or mathematics</w:t>
            </w:r>
            <w:r w:rsidR="00B9109F">
              <w:t xml:space="preserve"> syllabuses</w:t>
            </w:r>
          </w:p>
          <w:p w14:paraId="320D6609" w14:textId="32E6C65F" w:rsidR="00F603D9" w:rsidRDefault="008B62C6" w:rsidP="00F603D9">
            <w:pPr>
              <w:pStyle w:val="ListParagraph"/>
              <w:numPr>
                <w:ilvl w:val="0"/>
                <w:numId w:val="43"/>
              </w:numPr>
            </w:pPr>
            <w:r>
              <w:t>strategy will assist in achieving elements of the outcome</w:t>
            </w:r>
          </w:p>
        </w:tc>
      </w:tr>
      <w:tr w:rsidR="008B62C6" w14:paraId="7F9272F3" w14:textId="77777777" w:rsidTr="005113FC">
        <w:trPr>
          <w:jc w:val="center"/>
        </w:trPr>
        <w:tc>
          <w:tcPr>
            <w:tcW w:w="2405" w:type="dxa"/>
          </w:tcPr>
          <w:p w14:paraId="54D569E5" w14:textId="50A7A3D5" w:rsidR="008B62C6" w:rsidRDefault="008B62C6" w:rsidP="008B62C6">
            <w:bookmarkStart w:id="0" w:name="_GoBack" w:colFirst="1" w:colLast="1"/>
            <w:r>
              <w:t>NAPLAN Item Descriptors</w:t>
            </w:r>
          </w:p>
        </w:tc>
        <w:tc>
          <w:tcPr>
            <w:tcW w:w="8125" w:type="dxa"/>
          </w:tcPr>
          <w:p w14:paraId="29EE118F" w14:textId="186FF23B" w:rsidR="008B62C6" w:rsidRDefault="00E378ED" w:rsidP="008B62C6">
            <w:pPr>
              <w:pStyle w:val="ListParagraph"/>
              <w:numPr>
                <w:ilvl w:val="0"/>
                <w:numId w:val="44"/>
              </w:numPr>
            </w:pPr>
            <w:r>
              <w:t>descriptions of specific literacy and numeracy skills assessed in NAPLAN as captures in</w:t>
            </w:r>
            <w:r w:rsidR="008B62C6">
              <w:t xml:space="preserve"> SCOUT</w:t>
            </w:r>
          </w:p>
          <w:p w14:paraId="1A4C6384" w14:textId="08A35998" w:rsidR="008B62C6" w:rsidRDefault="00344173" w:rsidP="00E378ED">
            <w:pPr>
              <w:pStyle w:val="ListParagraph"/>
              <w:numPr>
                <w:ilvl w:val="0"/>
                <w:numId w:val="44"/>
              </w:numPr>
            </w:pPr>
            <w:r>
              <w:t xml:space="preserve">teachers may identify </w:t>
            </w:r>
            <w:r w:rsidR="00E378ED">
              <w:t>a skill</w:t>
            </w:r>
            <w:r>
              <w:t xml:space="preserve"> to target through NAPLAN data and can select teaching strategies designed to support the skill development.</w:t>
            </w:r>
          </w:p>
        </w:tc>
      </w:tr>
      <w:tr w:rsidR="008B62C6" w14:paraId="4D32790A" w14:textId="77777777" w:rsidTr="005113FC">
        <w:trPr>
          <w:jc w:val="center"/>
        </w:trPr>
        <w:tc>
          <w:tcPr>
            <w:tcW w:w="2405" w:type="dxa"/>
          </w:tcPr>
          <w:p w14:paraId="3050D6BB" w14:textId="7DB0DF20" w:rsidR="008B62C6" w:rsidRDefault="008B62C6" w:rsidP="008B62C6">
            <w:r>
              <w:t>Literacy</w:t>
            </w:r>
            <w:r w:rsidR="00E378ED">
              <w:t xml:space="preserve"> and Numeracy</w:t>
            </w:r>
            <w:r>
              <w:t xml:space="preserve"> </w:t>
            </w:r>
            <w:r w:rsidR="00E378ED">
              <w:t>L</w:t>
            </w:r>
            <w:r w:rsidR="00F04DCD">
              <w:t>earning</w:t>
            </w:r>
            <w:r>
              <w:t xml:space="preserve"> progression guide</w:t>
            </w:r>
          </w:p>
        </w:tc>
        <w:tc>
          <w:tcPr>
            <w:tcW w:w="8125" w:type="dxa"/>
          </w:tcPr>
          <w:p w14:paraId="050D2707" w14:textId="111A8513" w:rsidR="00F603D9" w:rsidRDefault="004926D1" w:rsidP="00F603D9">
            <w:pPr>
              <w:pStyle w:val="ListParagraph"/>
              <w:numPr>
                <w:ilvl w:val="0"/>
                <w:numId w:val="45"/>
              </w:numPr>
            </w:pPr>
            <w:r>
              <w:t xml:space="preserve">selection of indicators from the progressions relevant to supporting learning of the focus skill </w:t>
            </w:r>
          </w:p>
          <w:p w14:paraId="74191420" w14:textId="056CD6B3" w:rsidR="00F603D9" w:rsidRDefault="00F603D9" w:rsidP="00F603D9">
            <w:pPr>
              <w:pStyle w:val="ListParagraph"/>
              <w:numPr>
                <w:ilvl w:val="0"/>
                <w:numId w:val="45"/>
              </w:numPr>
            </w:pPr>
            <w:r>
              <w:t>guided by NESA mapping of the progressions to the NSW English and mathematics K-10 syllabuses</w:t>
            </w:r>
          </w:p>
          <w:p w14:paraId="284A808D" w14:textId="672288CA" w:rsidR="00F04DCD" w:rsidRDefault="00344173" w:rsidP="00F70F54">
            <w:pPr>
              <w:pStyle w:val="ListParagraph"/>
            </w:pPr>
            <w:r>
              <w:t>enables literacy and numeracy focus across key learning areas</w:t>
            </w:r>
          </w:p>
        </w:tc>
      </w:tr>
      <w:bookmarkEnd w:id="0"/>
      <w:tr w:rsidR="00F04DCD" w14:paraId="022AF53B" w14:textId="77777777" w:rsidTr="005113FC">
        <w:trPr>
          <w:jc w:val="center"/>
        </w:trPr>
        <w:tc>
          <w:tcPr>
            <w:tcW w:w="2405" w:type="dxa"/>
          </w:tcPr>
          <w:p w14:paraId="2F02906D" w14:textId="668369E6" w:rsidR="00F04DCD" w:rsidRDefault="00F04DCD" w:rsidP="008B62C6">
            <w:r>
              <w:t>Resources</w:t>
            </w:r>
          </w:p>
        </w:tc>
        <w:tc>
          <w:tcPr>
            <w:tcW w:w="8125" w:type="dxa"/>
          </w:tcPr>
          <w:p w14:paraId="106B5F12" w14:textId="37F808BD" w:rsidR="00F04DCD" w:rsidRDefault="00C00D07" w:rsidP="008B62C6">
            <w:pPr>
              <w:pStyle w:val="ListParagraph"/>
              <w:numPr>
                <w:ilvl w:val="0"/>
                <w:numId w:val="45"/>
              </w:numPr>
            </w:pPr>
            <w:r>
              <w:t>a</w:t>
            </w:r>
            <w:r w:rsidR="00F04DCD">
              <w:t xml:space="preserve">ppendix </w:t>
            </w:r>
            <w:r w:rsidR="004926D1">
              <w:t xml:space="preserve">of </w:t>
            </w:r>
            <w:r w:rsidR="00F04DCD">
              <w:t>resources</w:t>
            </w:r>
            <w:r w:rsidR="00344173">
              <w:t xml:space="preserve"> which can be printed</w:t>
            </w:r>
          </w:p>
        </w:tc>
      </w:tr>
      <w:tr w:rsidR="00F04DCD" w14:paraId="219880EA" w14:textId="77777777" w:rsidTr="005113FC">
        <w:trPr>
          <w:jc w:val="center"/>
        </w:trPr>
        <w:tc>
          <w:tcPr>
            <w:tcW w:w="2405" w:type="dxa"/>
          </w:tcPr>
          <w:p w14:paraId="14717135" w14:textId="4A290194" w:rsidR="00F04DCD" w:rsidRDefault="00F04DCD" w:rsidP="008B62C6">
            <w:r>
              <w:t>Background information</w:t>
            </w:r>
          </w:p>
        </w:tc>
        <w:tc>
          <w:tcPr>
            <w:tcW w:w="8125" w:type="dxa"/>
          </w:tcPr>
          <w:p w14:paraId="24F1B2D9" w14:textId="3681E1DE" w:rsidR="00F04DCD" w:rsidRDefault="00C00D07" w:rsidP="00F04DCD">
            <w:pPr>
              <w:pStyle w:val="ListParagraph"/>
              <w:numPr>
                <w:ilvl w:val="0"/>
                <w:numId w:val="45"/>
              </w:numPr>
            </w:pPr>
            <w:r>
              <w:t>i</w:t>
            </w:r>
            <w:r w:rsidR="00F04DCD">
              <w:t xml:space="preserve">nformation for teachers to support </w:t>
            </w:r>
            <w:r w:rsidR="004926D1">
              <w:t xml:space="preserve">classroom </w:t>
            </w:r>
            <w:r w:rsidR="00F04DCD">
              <w:t>implementation</w:t>
            </w:r>
          </w:p>
          <w:p w14:paraId="5F10C669" w14:textId="468AEF98" w:rsidR="00F04DCD" w:rsidRDefault="00F04DCD" w:rsidP="00F04DCD">
            <w:pPr>
              <w:pStyle w:val="ListParagraph"/>
              <w:numPr>
                <w:ilvl w:val="0"/>
                <w:numId w:val="45"/>
              </w:numPr>
            </w:pPr>
            <w:r>
              <w:t>key terminology and metalanguage defined</w:t>
            </w:r>
          </w:p>
        </w:tc>
      </w:tr>
      <w:tr w:rsidR="00F04DCD" w14:paraId="1C1DBDF7" w14:textId="77777777" w:rsidTr="005113FC">
        <w:trPr>
          <w:jc w:val="center"/>
        </w:trPr>
        <w:tc>
          <w:tcPr>
            <w:tcW w:w="2405" w:type="dxa"/>
          </w:tcPr>
          <w:p w14:paraId="215A1DF2" w14:textId="31AD98DB" w:rsidR="00F04DCD" w:rsidRDefault="00F04DCD" w:rsidP="008B62C6">
            <w:r>
              <w:t>Where to next</w:t>
            </w:r>
          </w:p>
        </w:tc>
        <w:tc>
          <w:tcPr>
            <w:tcW w:w="8125" w:type="dxa"/>
          </w:tcPr>
          <w:p w14:paraId="193B89AF" w14:textId="35EBCB08" w:rsidR="00F04DCD" w:rsidRDefault="00F04DCD" w:rsidP="004926D1">
            <w:pPr>
              <w:pStyle w:val="ListParagraph"/>
              <w:numPr>
                <w:ilvl w:val="0"/>
                <w:numId w:val="45"/>
              </w:numPr>
            </w:pPr>
            <w:r>
              <w:t xml:space="preserve">suggestions for further learning </w:t>
            </w:r>
          </w:p>
        </w:tc>
      </w:tr>
    </w:tbl>
    <w:p w14:paraId="14BB9AA5" w14:textId="682F6A0B" w:rsidR="00E378ED" w:rsidRPr="00033783" w:rsidRDefault="00680E4F" w:rsidP="00033783">
      <w:pPr>
        <w:pStyle w:val="ListBullet"/>
        <w:numPr>
          <w:ilvl w:val="0"/>
          <w:numId w:val="0"/>
        </w:numPr>
      </w:pPr>
      <w:r>
        <w:rPr>
          <w:noProof/>
          <w:lang w:eastAsia="en-AU"/>
        </w:rPr>
        <w:drawing>
          <wp:inline distT="0" distB="0" distL="0" distR="0" wp14:anchorId="13A40B17" wp14:editId="526F177E">
            <wp:extent cx="6342185" cy="4435523"/>
            <wp:effectExtent l="190500" t="190500" r="192405" b="193675"/>
            <wp:docPr id="2" name="Picture 2" descr="Image of teaching strateg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erence image.PNG"/>
                    <pic:cNvPicPr/>
                  </pic:nvPicPr>
                  <pic:blipFill>
                    <a:blip r:embed="rId12">
                      <a:extLst>
                        <a:ext uri="{28A0092B-C50C-407E-A947-70E740481C1C}">
                          <a14:useLocalDpi xmlns:a14="http://schemas.microsoft.com/office/drawing/2010/main" val="0"/>
                        </a:ext>
                      </a:extLst>
                    </a:blip>
                    <a:stretch>
                      <a:fillRect/>
                    </a:stretch>
                  </pic:blipFill>
                  <pic:spPr>
                    <a:xfrm>
                      <a:off x="0" y="0"/>
                      <a:ext cx="6346665" cy="4438656"/>
                    </a:xfrm>
                    <a:prstGeom prst="rect">
                      <a:avLst/>
                    </a:prstGeom>
                    <a:ln>
                      <a:noFill/>
                    </a:ln>
                    <a:effectLst>
                      <a:outerShdw blurRad="190500" algn="tl" rotWithShape="0">
                        <a:srgbClr val="000000">
                          <a:alpha val="70000"/>
                        </a:srgbClr>
                      </a:outerShdw>
                    </a:effectLst>
                  </pic:spPr>
                </pic:pic>
              </a:graphicData>
            </a:graphic>
          </wp:inline>
        </w:drawing>
      </w:r>
      <w:r w:rsidR="00E378ED" w:rsidRPr="00033783">
        <w:t>Example of teachi</w:t>
      </w:r>
      <w:r w:rsidR="00033783" w:rsidRPr="00033783">
        <w:t>ng strategy layout and features</w:t>
      </w:r>
    </w:p>
    <w:p w14:paraId="5B0EEB17" w14:textId="3A45892C" w:rsidR="009D781C" w:rsidRDefault="009D781C" w:rsidP="009B0714">
      <w:pPr>
        <w:pStyle w:val="Heading3"/>
        <w:spacing w:before="480"/>
      </w:pPr>
      <w:r>
        <w:t>Coding</w:t>
      </w:r>
    </w:p>
    <w:tbl>
      <w:tblPr>
        <w:tblStyle w:val="TableGrid"/>
        <w:tblW w:w="0" w:type="auto"/>
        <w:jc w:val="center"/>
        <w:tblLook w:val="04A0" w:firstRow="1" w:lastRow="0" w:firstColumn="1" w:lastColumn="0" w:noHBand="0" w:noVBand="1"/>
        <w:tblDescription w:val="Codes used in teaching strategy documents"/>
      </w:tblPr>
      <w:tblGrid>
        <w:gridCol w:w="2122"/>
        <w:gridCol w:w="8408"/>
      </w:tblGrid>
      <w:tr w:rsidR="00A34F12" w14:paraId="4E492B7C" w14:textId="77777777" w:rsidTr="005113FC">
        <w:trPr>
          <w:tblHeader/>
          <w:jc w:val="center"/>
        </w:trPr>
        <w:tc>
          <w:tcPr>
            <w:tcW w:w="2122" w:type="dxa"/>
            <w:shd w:val="clear" w:color="auto" w:fill="F2F2F2" w:themeFill="background1" w:themeFillShade="F2"/>
          </w:tcPr>
          <w:p w14:paraId="10E6A1ED" w14:textId="36869EEA" w:rsidR="00A34F12" w:rsidRPr="00A34F12" w:rsidRDefault="00A34F12" w:rsidP="009D781C">
            <w:pPr>
              <w:spacing w:line="360" w:lineRule="auto"/>
              <w:rPr>
                <w:b/>
              </w:rPr>
            </w:pPr>
            <w:r>
              <w:rPr>
                <w:b/>
              </w:rPr>
              <w:t>Code</w:t>
            </w:r>
          </w:p>
        </w:tc>
        <w:tc>
          <w:tcPr>
            <w:tcW w:w="8408" w:type="dxa"/>
            <w:shd w:val="clear" w:color="auto" w:fill="F2F2F2" w:themeFill="background1" w:themeFillShade="F2"/>
          </w:tcPr>
          <w:p w14:paraId="7ADEBEC3" w14:textId="41E88B59" w:rsidR="00A34F12" w:rsidRPr="00A34F12" w:rsidRDefault="00A34F12" w:rsidP="00A34F12">
            <w:pPr>
              <w:spacing w:line="360" w:lineRule="auto"/>
              <w:ind w:left="360"/>
              <w:rPr>
                <w:b/>
              </w:rPr>
            </w:pPr>
            <w:r w:rsidRPr="00A34F12">
              <w:rPr>
                <w:b/>
              </w:rPr>
              <w:t>Description</w:t>
            </w:r>
          </w:p>
        </w:tc>
      </w:tr>
      <w:tr w:rsidR="009D781C" w14:paraId="77E1508F" w14:textId="77777777" w:rsidTr="005113FC">
        <w:trPr>
          <w:jc w:val="center"/>
        </w:trPr>
        <w:tc>
          <w:tcPr>
            <w:tcW w:w="2122" w:type="dxa"/>
          </w:tcPr>
          <w:p w14:paraId="1108254A" w14:textId="2CB5E157" w:rsidR="009D781C" w:rsidRPr="00344173" w:rsidRDefault="009D781C" w:rsidP="009D781C">
            <w:pPr>
              <w:spacing w:line="360" w:lineRule="auto"/>
            </w:pPr>
            <w:r w:rsidRPr="00344173">
              <w:t>Italics</w:t>
            </w:r>
          </w:p>
        </w:tc>
        <w:tc>
          <w:tcPr>
            <w:tcW w:w="8408" w:type="dxa"/>
          </w:tcPr>
          <w:p w14:paraId="6E74A2C8" w14:textId="31D8CB86" w:rsidR="009D781C" w:rsidRDefault="009D781C" w:rsidP="009D781C">
            <w:pPr>
              <w:pStyle w:val="ListParagraph"/>
              <w:numPr>
                <w:ilvl w:val="0"/>
                <w:numId w:val="39"/>
              </w:numPr>
              <w:spacing w:line="360" w:lineRule="auto"/>
            </w:pPr>
            <w:r>
              <w:t>used to indicate</w:t>
            </w:r>
            <w:r w:rsidR="00344173">
              <w:t xml:space="preserve"> teaching strategies (see Teaching Strategies page in this resource)</w:t>
            </w:r>
          </w:p>
          <w:p w14:paraId="008B379E" w14:textId="117040A1" w:rsidR="009D781C" w:rsidRDefault="009D781C" w:rsidP="009D781C">
            <w:pPr>
              <w:pStyle w:val="ListParagraph"/>
              <w:numPr>
                <w:ilvl w:val="0"/>
                <w:numId w:val="39"/>
              </w:numPr>
              <w:spacing w:line="360" w:lineRule="auto"/>
            </w:pPr>
            <w:r>
              <w:t>used for metalanguage or subject-specific terminology</w:t>
            </w:r>
          </w:p>
        </w:tc>
      </w:tr>
      <w:tr w:rsidR="009D781C" w14:paraId="06B54451" w14:textId="77777777" w:rsidTr="005113FC">
        <w:trPr>
          <w:jc w:val="center"/>
        </w:trPr>
        <w:tc>
          <w:tcPr>
            <w:tcW w:w="2122" w:type="dxa"/>
          </w:tcPr>
          <w:p w14:paraId="19DC6594" w14:textId="14EDF2C7" w:rsidR="009D781C" w:rsidRPr="00344173" w:rsidRDefault="009D781C" w:rsidP="009D781C">
            <w:pPr>
              <w:spacing w:line="360" w:lineRule="auto"/>
            </w:pPr>
            <w:r w:rsidRPr="00344173">
              <w:t>Appendix</w:t>
            </w:r>
          </w:p>
        </w:tc>
        <w:tc>
          <w:tcPr>
            <w:tcW w:w="8408" w:type="dxa"/>
          </w:tcPr>
          <w:p w14:paraId="3731A5E0" w14:textId="2B8E9258" w:rsidR="009D781C" w:rsidRDefault="00C00D07" w:rsidP="009D781C">
            <w:pPr>
              <w:pStyle w:val="ListParagraph"/>
              <w:numPr>
                <w:ilvl w:val="0"/>
                <w:numId w:val="40"/>
              </w:numPr>
              <w:spacing w:line="360" w:lineRule="auto"/>
            </w:pPr>
            <w:r>
              <w:t>a</w:t>
            </w:r>
            <w:r w:rsidR="009D781C">
              <w:t>ppendices are attached to support the teaching strategy</w:t>
            </w:r>
          </w:p>
        </w:tc>
      </w:tr>
      <w:tr w:rsidR="009D781C" w14:paraId="21001025" w14:textId="77777777" w:rsidTr="005113FC">
        <w:trPr>
          <w:jc w:val="center"/>
        </w:trPr>
        <w:tc>
          <w:tcPr>
            <w:tcW w:w="2122" w:type="dxa"/>
          </w:tcPr>
          <w:p w14:paraId="730A84E8" w14:textId="1161817E" w:rsidR="009D781C" w:rsidRPr="00344173" w:rsidRDefault="00344173" w:rsidP="009D781C">
            <w:pPr>
              <w:spacing w:line="360" w:lineRule="auto"/>
            </w:pPr>
            <w:r w:rsidRPr="00344173">
              <w:t>Variation</w:t>
            </w:r>
          </w:p>
        </w:tc>
        <w:tc>
          <w:tcPr>
            <w:tcW w:w="8408" w:type="dxa"/>
          </w:tcPr>
          <w:p w14:paraId="75999BEF" w14:textId="24EEE181" w:rsidR="009D781C" w:rsidRDefault="00C00D07" w:rsidP="00344173">
            <w:pPr>
              <w:pStyle w:val="ListParagraph"/>
              <w:numPr>
                <w:ilvl w:val="0"/>
                <w:numId w:val="40"/>
              </w:numPr>
              <w:spacing w:line="360" w:lineRule="auto"/>
            </w:pPr>
            <w:r>
              <w:t>o</w:t>
            </w:r>
            <w:r w:rsidR="009D781C">
              <w:t xml:space="preserve">pportunity to </w:t>
            </w:r>
            <w:r w:rsidR="00344173">
              <w:t>vary the learning to support or challenge learners</w:t>
            </w:r>
            <w:r w:rsidR="009D781C">
              <w:t>. Teachers will differentiate and make adjustments within programming.</w:t>
            </w:r>
          </w:p>
        </w:tc>
      </w:tr>
      <w:tr w:rsidR="009D781C" w14:paraId="010C52A5" w14:textId="77777777" w:rsidTr="005113FC">
        <w:trPr>
          <w:jc w:val="center"/>
        </w:trPr>
        <w:tc>
          <w:tcPr>
            <w:tcW w:w="2122" w:type="dxa"/>
          </w:tcPr>
          <w:p w14:paraId="1A7819B6" w14:textId="690A91BC" w:rsidR="009D781C" w:rsidRPr="00344173" w:rsidRDefault="009D781C" w:rsidP="009D781C">
            <w:pPr>
              <w:spacing w:line="360" w:lineRule="auto"/>
            </w:pPr>
            <w:r w:rsidRPr="00344173">
              <w:t>Alternate Task</w:t>
            </w:r>
          </w:p>
        </w:tc>
        <w:tc>
          <w:tcPr>
            <w:tcW w:w="8408" w:type="dxa"/>
          </w:tcPr>
          <w:p w14:paraId="0C7F0C6C" w14:textId="598D0420" w:rsidR="009D781C" w:rsidRDefault="009D781C" w:rsidP="008B62C6">
            <w:pPr>
              <w:pStyle w:val="ListParagraph"/>
              <w:numPr>
                <w:ilvl w:val="0"/>
                <w:numId w:val="40"/>
              </w:numPr>
              <w:spacing w:line="360" w:lineRule="auto"/>
            </w:pPr>
            <w:r>
              <w:t xml:space="preserve">a </w:t>
            </w:r>
            <w:r w:rsidR="008B62C6">
              <w:t>different suggestion to achieve the same purpose</w:t>
            </w:r>
            <w:r>
              <w:t xml:space="preserve"> </w:t>
            </w:r>
          </w:p>
        </w:tc>
      </w:tr>
      <w:tr w:rsidR="008B62C6" w14:paraId="2F93CE00" w14:textId="77777777" w:rsidTr="005113FC">
        <w:trPr>
          <w:jc w:val="center"/>
        </w:trPr>
        <w:tc>
          <w:tcPr>
            <w:tcW w:w="2122" w:type="dxa"/>
          </w:tcPr>
          <w:p w14:paraId="4C840930" w14:textId="26E77F14" w:rsidR="008B62C6" w:rsidRPr="00344173" w:rsidRDefault="008B62C6" w:rsidP="009D781C">
            <w:pPr>
              <w:spacing w:line="360" w:lineRule="auto"/>
            </w:pPr>
            <w:r w:rsidRPr="00344173">
              <w:t>Additional Task</w:t>
            </w:r>
          </w:p>
        </w:tc>
        <w:tc>
          <w:tcPr>
            <w:tcW w:w="8408" w:type="dxa"/>
          </w:tcPr>
          <w:p w14:paraId="00614B56" w14:textId="6B047369" w:rsidR="008B62C6" w:rsidRDefault="008B62C6" w:rsidP="008B62C6">
            <w:pPr>
              <w:pStyle w:val="ListParagraph"/>
              <w:numPr>
                <w:ilvl w:val="0"/>
                <w:numId w:val="40"/>
              </w:numPr>
              <w:spacing w:line="360" w:lineRule="auto"/>
            </w:pPr>
            <w:r>
              <w:t>an opportunity to further build on</w:t>
            </w:r>
            <w:r w:rsidR="00344173">
              <w:t xml:space="preserve"> an</w:t>
            </w:r>
            <w:r>
              <w:t xml:space="preserve"> idea</w:t>
            </w:r>
          </w:p>
        </w:tc>
      </w:tr>
    </w:tbl>
    <w:p w14:paraId="12AF0AED" w14:textId="7AD7F664" w:rsidR="00A34F12" w:rsidRPr="003B6F16" w:rsidRDefault="00A34F12" w:rsidP="003B6F16">
      <w:bookmarkStart w:id="1" w:name="_Toc5018955"/>
      <w:bookmarkStart w:id="2" w:name="_Toc5019572"/>
      <w:bookmarkStart w:id="3" w:name="_Toc5019731"/>
    </w:p>
    <w:p w14:paraId="017BF8BD" w14:textId="77777777" w:rsidR="00A34F12" w:rsidRPr="003B6F16" w:rsidRDefault="00A34F12" w:rsidP="003B6F16">
      <w:r w:rsidRPr="003B6F16">
        <w:br w:type="page"/>
      </w:r>
    </w:p>
    <w:p w14:paraId="643355AE" w14:textId="736A66F9" w:rsidR="00AC0B38" w:rsidRDefault="00277A36" w:rsidP="00A34F12">
      <w:pPr>
        <w:pStyle w:val="Heading2"/>
      </w:pPr>
      <w:r>
        <w:t xml:space="preserve">Teaching </w:t>
      </w:r>
      <w:r w:rsidR="00344173">
        <w:t>strategies</w:t>
      </w:r>
    </w:p>
    <w:p w14:paraId="53FD60E8" w14:textId="33AEF923" w:rsidR="009B0714" w:rsidRPr="009B0714" w:rsidRDefault="009B0714" w:rsidP="009B0714">
      <w:pPr>
        <w:spacing w:line="276" w:lineRule="auto"/>
      </w:pPr>
      <w:r>
        <w:t>Embedded within each task is a range of teaching strategies which encourage collaboration, communication and critical and creative thinking.</w:t>
      </w:r>
    </w:p>
    <w:tbl>
      <w:tblPr>
        <w:tblStyle w:val="TableGrid"/>
        <w:tblpPr w:leftFromText="180" w:rightFromText="180" w:vertAnchor="page" w:horzAnchor="margin" w:tblpXSpec="center" w:tblpY="1957"/>
        <w:tblW w:w="0" w:type="auto"/>
        <w:jc w:val="center"/>
        <w:tblLook w:val="04A0" w:firstRow="1" w:lastRow="0" w:firstColumn="1" w:lastColumn="0" w:noHBand="0" w:noVBand="1"/>
        <w:tblDescription w:val="Description of strategies"/>
      </w:tblPr>
      <w:tblGrid>
        <w:gridCol w:w="1725"/>
        <w:gridCol w:w="8618"/>
      </w:tblGrid>
      <w:tr w:rsidR="00A34F12" w:rsidRPr="000B5925" w14:paraId="629DA0AC" w14:textId="77777777" w:rsidTr="005113FC">
        <w:trPr>
          <w:trHeight w:val="567"/>
          <w:tblHeader/>
          <w:jc w:val="center"/>
        </w:trPr>
        <w:tc>
          <w:tcPr>
            <w:tcW w:w="1725" w:type="dxa"/>
            <w:shd w:val="clear" w:color="auto" w:fill="F2F2F2" w:themeFill="background1" w:themeFillShade="F2"/>
          </w:tcPr>
          <w:bookmarkEnd w:id="1"/>
          <w:bookmarkEnd w:id="2"/>
          <w:bookmarkEnd w:id="3"/>
          <w:p w14:paraId="4B2C5432" w14:textId="77777777" w:rsidR="00A34F12" w:rsidRPr="00A34F12" w:rsidRDefault="00A34F12" w:rsidP="005113FC">
            <w:pPr>
              <w:rPr>
                <w:b/>
                <w:sz w:val="24"/>
              </w:rPr>
            </w:pPr>
            <w:r w:rsidRPr="00A34F12">
              <w:rPr>
                <w:b/>
                <w:sz w:val="24"/>
              </w:rPr>
              <w:t>Strategy</w:t>
            </w:r>
          </w:p>
        </w:tc>
        <w:tc>
          <w:tcPr>
            <w:tcW w:w="8618" w:type="dxa"/>
            <w:shd w:val="clear" w:color="auto" w:fill="F2F2F2" w:themeFill="background1" w:themeFillShade="F2"/>
          </w:tcPr>
          <w:p w14:paraId="7EA6DDF3" w14:textId="77777777" w:rsidR="00A34F12" w:rsidRPr="00A34F12" w:rsidRDefault="00A34F12" w:rsidP="005113FC">
            <w:pPr>
              <w:rPr>
                <w:b/>
                <w:sz w:val="24"/>
              </w:rPr>
            </w:pPr>
            <w:r w:rsidRPr="00A34F12">
              <w:rPr>
                <w:b/>
                <w:sz w:val="24"/>
              </w:rPr>
              <w:t>Purpose</w:t>
            </w:r>
          </w:p>
        </w:tc>
      </w:tr>
      <w:tr w:rsidR="00A34F12" w:rsidRPr="000B5925" w14:paraId="6E08321B" w14:textId="77777777" w:rsidTr="005113FC">
        <w:trPr>
          <w:trHeight w:val="841"/>
          <w:jc w:val="center"/>
        </w:trPr>
        <w:tc>
          <w:tcPr>
            <w:tcW w:w="1725" w:type="dxa"/>
          </w:tcPr>
          <w:p w14:paraId="5429C7D1" w14:textId="77777777" w:rsidR="00A34F12" w:rsidRPr="00344173" w:rsidRDefault="00A34F12" w:rsidP="003B6F16">
            <w:pPr>
              <w:spacing w:line="264" w:lineRule="auto"/>
            </w:pPr>
            <w:r w:rsidRPr="00344173">
              <w:t>Anchor chart</w:t>
            </w:r>
          </w:p>
        </w:tc>
        <w:tc>
          <w:tcPr>
            <w:tcW w:w="8618" w:type="dxa"/>
          </w:tcPr>
          <w:p w14:paraId="61E374E4" w14:textId="77777777" w:rsidR="00A34F12" w:rsidRDefault="00A34F12" w:rsidP="003B6F16">
            <w:pPr>
              <w:spacing w:line="264" w:lineRule="auto"/>
            </w:pPr>
            <w:r w:rsidRPr="000B5925">
              <w:t xml:space="preserve">This is a central </w:t>
            </w:r>
            <w:r>
              <w:t xml:space="preserve">reference </w:t>
            </w:r>
            <w:r w:rsidRPr="000B5925">
              <w:t>place where</w:t>
            </w:r>
            <w:r>
              <w:t xml:space="preserve"> key information is recorded</w:t>
            </w:r>
            <w:r w:rsidRPr="000B5925">
              <w:t>. The anchor chart can be built upon and understanding of a topic or concept increases.</w:t>
            </w:r>
            <w:r>
              <w:t xml:space="preserve"> Anchor charts are commonly written on butcher’s paper and colour-coded as appropriate. It is visual and referred to throughout learning. </w:t>
            </w:r>
          </w:p>
        </w:tc>
      </w:tr>
      <w:tr w:rsidR="00A34F12" w:rsidRPr="000B5925" w14:paraId="049C187E" w14:textId="77777777" w:rsidTr="005113FC">
        <w:trPr>
          <w:trHeight w:val="841"/>
          <w:jc w:val="center"/>
        </w:trPr>
        <w:tc>
          <w:tcPr>
            <w:tcW w:w="1725" w:type="dxa"/>
          </w:tcPr>
          <w:p w14:paraId="4B77297F" w14:textId="77777777" w:rsidR="00A34F12" w:rsidRPr="00344173" w:rsidRDefault="00A34F12" w:rsidP="003B6F16">
            <w:pPr>
              <w:spacing w:line="264" w:lineRule="auto"/>
            </w:pPr>
            <w:r w:rsidRPr="00344173">
              <w:t>Brainstorm</w:t>
            </w:r>
          </w:p>
        </w:tc>
        <w:tc>
          <w:tcPr>
            <w:tcW w:w="8618" w:type="dxa"/>
          </w:tcPr>
          <w:p w14:paraId="357FD85C" w14:textId="77777777" w:rsidR="00A34F12" w:rsidRPr="000B5925" w:rsidRDefault="00A34F12" w:rsidP="003B6F16">
            <w:pPr>
              <w:spacing w:line="264" w:lineRule="auto"/>
              <w:rPr>
                <w:b/>
              </w:rPr>
            </w:pPr>
            <w:r>
              <w:t>Students share ideas with sticky notes, whiteboards, google docs etc. All ideas are included. Ideas can be categorised and coded.</w:t>
            </w:r>
          </w:p>
        </w:tc>
      </w:tr>
      <w:tr w:rsidR="00A34F12" w:rsidRPr="000B5925" w14:paraId="04B78469" w14:textId="77777777" w:rsidTr="005113FC">
        <w:trPr>
          <w:trHeight w:val="841"/>
          <w:jc w:val="center"/>
        </w:trPr>
        <w:tc>
          <w:tcPr>
            <w:tcW w:w="1725" w:type="dxa"/>
          </w:tcPr>
          <w:p w14:paraId="73644FCB" w14:textId="77777777" w:rsidR="00A34F12" w:rsidRPr="00344173" w:rsidRDefault="00A34F12" w:rsidP="003B6F16">
            <w:pPr>
              <w:spacing w:line="264" w:lineRule="auto"/>
            </w:pPr>
            <w:r w:rsidRPr="00344173">
              <w:t>Concept map</w:t>
            </w:r>
          </w:p>
        </w:tc>
        <w:tc>
          <w:tcPr>
            <w:tcW w:w="8618" w:type="dxa"/>
          </w:tcPr>
          <w:p w14:paraId="6A561D86" w14:textId="77777777" w:rsidR="00A34F12" w:rsidRDefault="00A34F12" w:rsidP="003B6F16">
            <w:pPr>
              <w:spacing w:line="264" w:lineRule="auto"/>
            </w:pPr>
            <w:r>
              <w:t>Students summarise ideas and map thoughts with details stemming from a main idea or topic.</w:t>
            </w:r>
          </w:p>
        </w:tc>
      </w:tr>
      <w:tr w:rsidR="00A34F12" w:rsidRPr="000B5925" w14:paraId="39075C13" w14:textId="77777777" w:rsidTr="005113FC">
        <w:trPr>
          <w:trHeight w:val="912"/>
          <w:jc w:val="center"/>
        </w:trPr>
        <w:tc>
          <w:tcPr>
            <w:tcW w:w="1725" w:type="dxa"/>
          </w:tcPr>
          <w:p w14:paraId="0F5F64BF" w14:textId="77777777" w:rsidR="00A34F12" w:rsidRPr="00344173" w:rsidRDefault="00A34F12" w:rsidP="003B6F16">
            <w:pPr>
              <w:spacing w:line="264" w:lineRule="auto"/>
            </w:pPr>
            <w:r w:rsidRPr="00344173">
              <w:t>Gallery walk</w:t>
            </w:r>
          </w:p>
        </w:tc>
        <w:tc>
          <w:tcPr>
            <w:tcW w:w="8618" w:type="dxa"/>
          </w:tcPr>
          <w:p w14:paraId="59A8BA7E" w14:textId="77777777" w:rsidR="00A34F12" w:rsidRPr="000B5925" w:rsidRDefault="00A34F12" w:rsidP="003B6F16">
            <w:pPr>
              <w:spacing w:line="264" w:lineRule="auto"/>
            </w:pPr>
            <w:r>
              <w:t>Students add ideas to texts and posters around a room. Students move from one poster to the next, identifying themselves with their initials.</w:t>
            </w:r>
          </w:p>
        </w:tc>
      </w:tr>
      <w:tr w:rsidR="00A34F12" w:rsidRPr="000B5925" w14:paraId="78E3DECC" w14:textId="77777777" w:rsidTr="005113FC">
        <w:trPr>
          <w:trHeight w:val="1123"/>
          <w:jc w:val="center"/>
        </w:trPr>
        <w:tc>
          <w:tcPr>
            <w:tcW w:w="1725" w:type="dxa"/>
          </w:tcPr>
          <w:p w14:paraId="6A6418BF" w14:textId="77777777" w:rsidR="00A34F12" w:rsidRPr="00344173" w:rsidRDefault="00A34F12" w:rsidP="003B6F16">
            <w:pPr>
              <w:spacing w:line="264" w:lineRule="auto"/>
            </w:pPr>
            <w:r w:rsidRPr="00344173">
              <w:t>Jigsaw task</w:t>
            </w:r>
          </w:p>
        </w:tc>
        <w:tc>
          <w:tcPr>
            <w:tcW w:w="8618" w:type="dxa"/>
          </w:tcPr>
          <w:p w14:paraId="1D163B0B" w14:textId="77777777" w:rsidR="00A34F12" w:rsidRPr="000B5925" w:rsidRDefault="00A34F12" w:rsidP="003B6F16">
            <w:pPr>
              <w:spacing w:line="264" w:lineRule="auto"/>
            </w:pPr>
            <w:r>
              <w:t>Information is separated into sections where students become an expert in their part. Importantly, students share this information so all students are exposed to the idea and to build a global understanding of the text or topic.</w:t>
            </w:r>
          </w:p>
        </w:tc>
      </w:tr>
      <w:tr w:rsidR="00A34F12" w:rsidRPr="000B5925" w14:paraId="65CF0A63" w14:textId="77777777" w:rsidTr="005113FC">
        <w:trPr>
          <w:trHeight w:val="1123"/>
          <w:jc w:val="center"/>
        </w:trPr>
        <w:tc>
          <w:tcPr>
            <w:tcW w:w="1725" w:type="dxa"/>
          </w:tcPr>
          <w:p w14:paraId="58E73517" w14:textId="77777777" w:rsidR="00A34F12" w:rsidRPr="00344173" w:rsidRDefault="00A34F12" w:rsidP="003B6F16">
            <w:pPr>
              <w:spacing w:line="264" w:lineRule="auto"/>
            </w:pPr>
            <w:r w:rsidRPr="00344173">
              <w:t>KWL Chart</w:t>
            </w:r>
          </w:p>
        </w:tc>
        <w:tc>
          <w:tcPr>
            <w:tcW w:w="8618" w:type="dxa"/>
          </w:tcPr>
          <w:p w14:paraId="38EC8C4C" w14:textId="77777777" w:rsidR="00A34F12" w:rsidRDefault="00A34F12" w:rsidP="003B6F16">
            <w:pPr>
              <w:spacing w:line="264" w:lineRule="auto"/>
            </w:pPr>
            <w:r>
              <w:t>Three column chart: What I know, what I want to know and what I learnt (what I learnt column is completed after learning and can be used as a formative assessment.</w:t>
            </w:r>
          </w:p>
        </w:tc>
      </w:tr>
      <w:tr w:rsidR="00A34F12" w:rsidRPr="000B5925" w14:paraId="65F89A17" w14:textId="77777777" w:rsidTr="005113FC">
        <w:trPr>
          <w:trHeight w:val="776"/>
          <w:jc w:val="center"/>
        </w:trPr>
        <w:tc>
          <w:tcPr>
            <w:tcW w:w="1725" w:type="dxa"/>
          </w:tcPr>
          <w:p w14:paraId="52CE5C71" w14:textId="77777777" w:rsidR="00A34F12" w:rsidRPr="00344173" w:rsidRDefault="00A34F12" w:rsidP="003B6F16">
            <w:pPr>
              <w:spacing w:line="264" w:lineRule="auto"/>
            </w:pPr>
            <w:r w:rsidRPr="00344173">
              <w:t>Modelled instruction</w:t>
            </w:r>
          </w:p>
        </w:tc>
        <w:tc>
          <w:tcPr>
            <w:tcW w:w="8618" w:type="dxa"/>
          </w:tcPr>
          <w:p w14:paraId="51BD4B25" w14:textId="77777777" w:rsidR="00A34F12" w:rsidRPr="000B5925" w:rsidRDefault="00A34F12" w:rsidP="003B6F16">
            <w:pPr>
              <w:spacing w:line="264" w:lineRule="auto"/>
            </w:pPr>
            <w:r>
              <w:t>Teacher directs learning and demonstrates by thinking aloud and explicitly showing how to complete the task.</w:t>
            </w:r>
          </w:p>
        </w:tc>
      </w:tr>
      <w:tr w:rsidR="00A34F12" w:rsidRPr="000B5925" w14:paraId="1B2E156F" w14:textId="77777777" w:rsidTr="005113FC">
        <w:trPr>
          <w:trHeight w:val="757"/>
          <w:jc w:val="center"/>
        </w:trPr>
        <w:tc>
          <w:tcPr>
            <w:tcW w:w="1725" w:type="dxa"/>
          </w:tcPr>
          <w:p w14:paraId="0D3C416B" w14:textId="77777777" w:rsidR="00A34F12" w:rsidRPr="00344173" w:rsidRDefault="00A34F12" w:rsidP="003B6F16">
            <w:pPr>
              <w:spacing w:line="264" w:lineRule="auto"/>
            </w:pPr>
            <w:r w:rsidRPr="00344173">
              <w:t>Newsflash</w:t>
            </w:r>
          </w:p>
        </w:tc>
        <w:tc>
          <w:tcPr>
            <w:tcW w:w="8618" w:type="dxa"/>
          </w:tcPr>
          <w:p w14:paraId="5BA67046" w14:textId="77777777" w:rsidR="00A34F12" w:rsidRDefault="00A34F12" w:rsidP="003B6F16">
            <w:pPr>
              <w:spacing w:line="264" w:lineRule="auto"/>
            </w:pPr>
            <w:r>
              <w:t>Students synthesise information and ideas into three components: headline, visual representation and key information.</w:t>
            </w:r>
          </w:p>
        </w:tc>
      </w:tr>
      <w:tr w:rsidR="00A34F12" w:rsidRPr="000B5925" w14:paraId="7CF77E44" w14:textId="77777777" w:rsidTr="005113FC">
        <w:trPr>
          <w:trHeight w:val="757"/>
          <w:jc w:val="center"/>
        </w:trPr>
        <w:tc>
          <w:tcPr>
            <w:tcW w:w="1725" w:type="dxa"/>
          </w:tcPr>
          <w:p w14:paraId="51F8FB4B" w14:textId="77777777" w:rsidR="00A34F12" w:rsidRPr="00344173" w:rsidRDefault="00A34F12" w:rsidP="003B6F16">
            <w:pPr>
              <w:spacing w:line="264" w:lineRule="auto"/>
            </w:pPr>
            <w:r w:rsidRPr="00344173">
              <w:t>T-Chart</w:t>
            </w:r>
          </w:p>
        </w:tc>
        <w:tc>
          <w:tcPr>
            <w:tcW w:w="8618" w:type="dxa"/>
          </w:tcPr>
          <w:p w14:paraId="57CD6062" w14:textId="77777777" w:rsidR="00A34F12" w:rsidRDefault="00A34F12" w:rsidP="003B6F16">
            <w:pPr>
              <w:spacing w:line="264" w:lineRule="auto"/>
            </w:pPr>
            <w:r>
              <w:t>Simple comparison graphic organiser with title at the top and broken down into two sections underneath.</w:t>
            </w:r>
          </w:p>
        </w:tc>
      </w:tr>
      <w:tr w:rsidR="00A34F12" w:rsidRPr="000B5925" w14:paraId="5A64AB2D" w14:textId="77777777" w:rsidTr="005113FC">
        <w:trPr>
          <w:trHeight w:val="463"/>
          <w:jc w:val="center"/>
        </w:trPr>
        <w:tc>
          <w:tcPr>
            <w:tcW w:w="1725" w:type="dxa"/>
          </w:tcPr>
          <w:p w14:paraId="3DB401C5" w14:textId="77777777" w:rsidR="00A34F12" w:rsidRPr="00344173" w:rsidRDefault="00A34F12" w:rsidP="003B6F16">
            <w:pPr>
              <w:spacing w:line="264" w:lineRule="auto"/>
            </w:pPr>
            <w:r w:rsidRPr="00344173">
              <w:t>Think aloud</w:t>
            </w:r>
          </w:p>
        </w:tc>
        <w:tc>
          <w:tcPr>
            <w:tcW w:w="8618" w:type="dxa"/>
          </w:tcPr>
          <w:p w14:paraId="3DB4C134" w14:textId="77777777" w:rsidR="00A34F12" w:rsidRDefault="00A34F12" w:rsidP="003B6F16">
            <w:pPr>
              <w:spacing w:line="264" w:lineRule="auto"/>
            </w:pPr>
            <w:r>
              <w:t>Verbalising thinking and ideas for students to understand a process</w:t>
            </w:r>
          </w:p>
        </w:tc>
      </w:tr>
      <w:tr w:rsidR="00A34F12" w:rsidRPr="000B5925" w14:paraId="61E5CF38" w14:textId="77777777" w:rsidTr="005113FC">
        <w:trPr>
          <w:trHeight w:val="463"/>
          <w:jc w:val="center"/>
        </w:trPr>
        <w:tc>
          <w:tcPr>
            <w:tcW w:w="1725" w:type="dxa"/>
          </w:tcPr>
          <w:p w14:paraId="6307BB88" w14:textId="77777777" w:rsidR="00A34F12" w:rsidRPr="00344173" w:rsidRDefault="00A34F12" w:rsidP="003B6F16">
            <w:pPr>
              <w:spacing w:line="264" w:lineRule="auto"/>
            </w:pPr>
            <w:r w:rsidRPr="00344173">
              <w:t>Think, pair, share</w:t>
            </w:r>
          </w:p>
        </w:tc>
        <w:tc>
          <w:tcPr>
            <w:tcW w:w="8618" w:type="dxa"/>
          </w:tcPr>
          <w:p w14:paraId="3AB2369C" w14:textId="77777777" w:rsidR="00A34F12" w:rsidRDefault="00A34F12" w:rsidP="003B6F16">
            <w:pPr>
              <w:spacing w:line="264" w:lineRule="auto"/>
            </w:pPr>
            <w:r>
              <w:t>Students work with partners to think about an idea or question, share with a partner and share. Pairs can become quads (2 people in a group, then 4) to further refine ideas.</w:t>
            </w:r>
          </w:p>
        </w:tc>
      </w:tr>
      <w:tr w:rsidR="00A34F12" w:rsidRPr="000B5925" w14:paraId="6B0E74E4" w14:textId="77777777" w:rsidTr="005113FC">
        <w:trPr>
          <w:trHeight w:val="463"/>
          <w:jc w:val="center"/>
        </w:trPr>
        <w:tc>
          <w:tcPr>
            <w:tcW w:w="1725" w:type="dxa"/>
          </w:tcPr>
          <w:p w14:paraId="484B7B4C" w14:textId="77777777" w:rsidR="00A34F12" w:rsidRPr="00344173" w:rsidRDefault="00A34F12" w:rsidP="003B6F16">
            <w:pPr>
              <w:spacing w:line="264" w:lineRule="auto"/>
            </w:pPr>
            <w:r w:rsidRPr="00344173">
              <w:t>Walk and Talk</w:t>
            </w:r>
          </w:p>
        </w:tc>
        <w:tc>
          <w:tcPr>
            <w:tcW w:w="8618" w:type="dxa"/>
          </w:tcPr>
          <w:p w14:paraId="12C5F84A" w14:textId="77777777" w:rsidR="00A34F12" w:rsidRPr="000B5925" w:rsidRDefault="00A34F12" w:rsidP="003B6F16">
            <w:pPr>
              <w:spacing w:line="264" w:lineRule="auto"/>
            </w:pPr>
            <w:r w:rsidRPr="000B5925">
              <w:rPr>
                <w:b/>
              </w:rPr>
              <w:t>Premise</w:t>
            </w:r>
            <w:r w:rsidRPr="000B5925">
              <w:t>: Students move around the classroom to share ideas with different partners</w:t>
            </w:r>
            <w:r>
              <w:t>. T</w:t>
            </w:r>
            <w:r w:rsidRPr="000B5925">
              <w:t>his can couple as a physical break and learning transition, as well as a way to incorporate targeted discussion.</w:t>
            </w:r>
          </w:p>
          <w:p w14:paraId="4FD2F504" w14:textId="77777777" w:rsidR="00A34F12" w:rsidRDefault="00A34F12" w:rsidP="003B6F16">
            <w:pPr>
              <w:spacing w:line="264" w:lineRule="auto"/>
            </w:pPr>
            <w:r w:rsidRPr="000B5925">
              <w:rPr>
                <w:b/>
              </w:rPr>
              <w:t>How it works:</w:t>
            </w:r>
            <w:r w:rsidRPr="000B5925">
              <w:t xml:space="preserve"> Teacher informs students of topic for discu</w:t>
            </w:r>
            <w:r>
              <w:t>ssion. Teacher calls out ‘walk’ and</w:t>
            </w:r>
            <w:r w:rsidRPr="000B5925">
              <w:t xml:space="preserve"> students move around the classroom until hearing the word ‘talk’. Students match with the person standing closest to them. Students discuss topic until teacher calls out ‘walk’ and the process starts again. </w:t>
            </w:r>
          </w:p>
        </w:tc>
      </w:tr>
      <w:tr w:rsidR="00A34F12" w:rsidRPr="000B5925" w14:paraId="30895A6E" w14:textId="77777777" w:rsidTr="005113FC">
        <w:trPr>
          <w:trHeight w:val="463"/>
          <w:jc w:val="center"/>
        </w:trPr>
        <w:tc>
          <w:tcPr>
            <w:tcW w:w="1725" w:type="dxa"/>
          </w:tcPr>
          <w:p w14:paraId="24A731E3" w14:textId="77777777" w:rsidR="00A34F12" w:rsidRPr="00344173" w:rsidRDefault="00A34F12" w:rsidP="003B6F16">
            <w:pPr>
              <w:spacing w:line="264" w:lineRule="auto"/>
            </w:pPr>
            <w:r w:rsidRPr="00344173">
              <w:t>Y-Chart</w:t>
            </w:r>
          </w:p>
        </w:tc>
        <w:tc>
          <w:tcPr>
            <w:tcW w:w="8618" w:type="dxa"/>
          </w:tcPr>
          <w:p w14:paraId="3D318A09" w14:textId="7E6EAA2C" w:rsidR="00A34F12" w:rsidRDefault="00A34F12" w:rsidP="003B6F16">
            <w:pPr>
              <w:spacing w:line="264" w:lineRule="auto"/>
            </w:pPr>
            <w:r>
              <w:t>Three part graphic organiser in the  shape of Y</w:t>
            </w:r>
          </w:p>
        </w:tc>
      </w:tr>
    </w:tbl>
    <w:p w14:paraId="5903455A" w14:textId="77777777" w:rsidR="00277A36" w:rsidRPr="003B6F16" w:rsidRDefault="00277A36" w:rsidP="003B6F16"/>
    <w:sectPr w:rsidR="00277A36" w:rsidRPr="003B6F16" w:rsidSect="003B6F16">
      <w:footerReference w:type="even" r:id="rId13"/>
      <w:footerReference w:type="default" r:id="rId14"/>
      <w:footerReference w:type="first" r:id="rId15"/>
      <w:type w:val="continuous"/>
      <w:pgSz w:w="11900" w:h="16840"/>
      <w:pgMar w:top="567" w:right="680" w:bottom="284" w:left="680" w:header="567" w:footer="2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2954" w14:textId="77777777" w:rsidR="00EB31AE" w:rsidRDefault="00EB31AE" w:rsidP="00191F45">
      <w:r>
        <w:separator/>
      </w:r>
    </w:p>
    <w:p w14:paraId="3E11416D" w14:textId="77777777" w:rsidR="00EB31AE" w:rsidRDefault="00EB31AE"/>
    <w:p w14:paraId="3707B822" w14:textId="77777777" w:rsidR="00EB31AE" w:rsidRDefault="00EB31AE"/>
  </w:endnote>
  <w:endnote w:type="continuationSeparator" w:id="0">
    <w:p w14:paraId="47E8A871" w14:textId="77777777" w:rsidR="00EB31AE" w:rsidRDefault="00EB31AE" w:rsidP="00191F45">
      <w:r>
        <w:continuationSeparator/>
      </w:r>
    </w:p>
    <w:p w14:paraId="4392D2D7" w14:textId="77777777" w:rsidR="00EB31AE" w:rsidRDefault="00EB31AE"/>
    <w:p w14:paraId="72AF4922" w14:textId="77777777" w:rsidR="00EB31AE" w:rsidRDefault="00EB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06903"/>
      <w:docPartObj>
        <w:docPartGallery w:val="Page Numbers (Bottom of Page)"/>
        <w:docPartUnique/>
      </w:docPartObj>
    </w:sdtPr>
    <w:sdtEndPr>
      <w:rPr>
        <w:noProof/>
      </w:rPr>
    </w:sdtEndPr>
    <w:sdtContent>
      <w:p w14:paraId="0F5AE61B" w14:textId="104828EF" w:rsidR="003B6F16" w:rsidRDefault="003B6F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D00519" w14:textId="3977C45E" w:rsidR="003B6F16" w:rsidRDefault="003B6F16" w:rsidP="003B6F16">
    <w:pPr>
      <w:pStyle w:val="Footer"/>
      <w:tabs>
        <w:tab w:val="clear" w:pos="10773"/>
        <w:tab w:val="left" w:pos="447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152203"/>
      <w:docPartObj>
        <w:docPartGallery w:val="Page Numbers (Bottom of Page)"/>
        <w:docPartUnique/>
      </w:docPartObj>
    </w:sdtPr>
    <w:sdtEndPr>
      <w:rPr>
        <w:noProof/>
      </w:rPr>
    </w:sdtEndPr>
    <w:sdtContent>
      <w:p w14:paraId="7856FC3C" w14:textId="41FF817E" w:rsidR="003B6F16" w:rsidRDefault="003B6F16" w:rsidP="003B6F16">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73615"/>
      <w:docPartObj>
        <w:docPartGallery w:val="Page Numbers (Bottom of Page)"/>
        <w:docPartUnique/>
      </w:docPartObj>
    </w:sdtPr>
    <w:sdtEndPr>
      <w:rPr>
        <w:noProof/>
      </w:rPr>
    </w:sdtEndPr>
    <w:sdtContent>
      <w:p w14:paraId="304E71BE" w14:textId="5A48CC56" w:rsidR="003B6F16" w:rsidRDefault="003B6F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EA4463" w14:textId="77777777" w:rsidR="003B6F16" w:rsidRDefault="003B6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B4F9" w14:textId="77777777" w:rsidR="00EB31AE" w:rsidRDefault="00EB31AE" w:rsidP="00191F45">
      <w:r>
        <w:separator/>
      </w:r>
    </w:p>
    <w:p w14:paraId="23FF7C17" w14:textId="77777777" w:rsidR="00EB31AE" w:rsidRDefault="00EB31AE"/>
    <w:p w14:paraId="1B484AB6" w14:textId="77777777" w:rsidR="00EB31AE" w:rsidRDefault="00EB31AE"/>
  </w:footnote>
  <w:footnote w:type="continuationSeparator" w:id="0">
    <w:p w14:paraId="688A41CF" w14:textId="77777777" w:rsidR="00EB31AE" w:rsidRDefault="00EB31AE" w:rsidP="00191F45">
      <w:r>
        <w:continuationSeparator/>
      </w:r>
    </w:p>
    <w:p w14:paraId="1B0BA015" w14:textId="77777777" w:rsidR="00EB31AE" w:rsidRDefault="00EB31AE"/>
    <w:p w14:paraId="2808FF1A" w14:textId="77777777" w:rsidR="00EB31AE" w:rsidRDefault="00EB31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86F1B0"/>
    <w:lvl w:ilvl="0">
      <w:start w:val="1"/>
      <w:numFmt w:val="decimal"/>
      <w:lvlText w:val="%1."/>
      <w:lvlJc w:val="left"/>
      <w:pPr>
        <w:tabs>
          <w:tab w:val="num" w:pos="717"/>
        </w:tabs>
        <w:ind w:left="717" w:hanging="360"/>
      </w:pPr>
    </w:lvl>
  </w:abstractNum>
  <w:abstractNum w:abstractNumId="1" w15:restartNumberingAfterBreak="0">
    <w:nsid w:val="FFFFFF89"/>
    <w:multiLevelType w:val="singleLevel"/>
    <w:tmpl w:val="D7903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B1321"/>
    <w:multiLevelType w:val="hybridMultilevel"/>
    <w:tmpl w:val="0A1C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60532"/>
    <w:multiLevelType w:val="hybridMultilevel"/>
    <w:tmpl w:val="D85E0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7751B"/>
    <w:multiLevelType w:val="hybridMultilevel"/>
    <w:tmpl w:val="08DC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C27286"/>
    <w:multiLevelType w:val="hybridMultilevel"/>
    <w:tmpl w:val="98F6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94569"/>
    <w:multiLevelType w:val="hybridMultilevel"/>
    <w:tmpl w:val="3F10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810225"/>
    <w:multiLevelType w:val="hybridMultilevel"/>
    <w:tmpl w:val="F5F2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0508B"/>
    <w:multiLevelType w:val="hybridMultilevel"/>
    <w:tmpl w:val="5B7E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92B01"/>
    <w:multiLevelType w:val="hybridMultilevel"/>
    <w:tmpl w:val="8CBA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F2D0A"/>
    <w:multiLevelType w:val="hybridMultilevel"/>
    <w:tmpl w:val="506A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AC53F7"/>
    <w:multiLevelType w:val="hybridMultilevel"/>
    <w:tmpl w:val="BE9E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E1B54"/>
    <w:multiLevelType w:val="hybridMultilevel"/>
    <w:tmpl w:val="1DC8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420B1"/>
    <w:multiLevelType w:val="hybridMultilevel"/>
    <w:tmpl w:val="B6D6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1A66B3"/>
    <w:multiLevelType w:val="hybridMultilevel"/>
    <w:tmpl w:val="49AE2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962CB"/>
    <w:multiLevelType w:val="hybridMultilevel"/>
    <w:tmpl w:val="3EA00FA8"/>
    <w:lvl w:ilvl="0" w:tplc="17BCFA48">
      <w:start w:val="1"/>
      <w:numFmt w:val="bullet"/>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16" w15:restartNumberingAfterBreak="0">
    <w:nsid w:val="3BA45512"/>
    <w:multiLevelType w:val="hybridMultilevel"/>
    <w:tmpl w:val="D098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007DFA"/>
    <w:multiLevelType w:val="hybridMultilevel"/>
    <w:tmpl w:val="4CC2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7D3750"/>
    <w:multiLevelType w:val="hybridMultilevel"/>
    <w:tmpl w:val="790A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F4926"/>
    <w:multiLevelType w:val="hybridMultilevel"/>
    <w:tmpl w:val="06B0F1BE"/>
    <w:lvl w:ilvl="0" w:tplc="A4EA35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D50902"/>
    <w:multiLevelType w:val="hybridMultilevel"/>
    <w:tmpl w:val="8AE6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D351AE"/>
    <w:multiLevelType w:val="hybridMultilevel"/>
    <w:tmpl w:val="82129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4455F3"/>
    <w:multiLevelType w:val="hybridMultilevel"/>
    <w:tmpl w:val="11B0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490C56"/>
    <w:multiLevelType w:val="hybridMultilevel"/>
    <w:tmpl w:val="E2600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272999"/>
    <w:multiLevelType w:val="hybridMultilevel"/>
    <w:tmpl w:val="01CE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F47DF"/>
    <w:multiLevelType w:val="hybridMultilevel"/>
    <w:tmpl w:val="BD68C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5A4E1FFB"/>
    <w:multiLevelType w:val="hybridMultilevel"/>
    <w:tmpl w:val="49BC1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186414"/>
    <w:multiLevelType w:val="hybridMultilevel"/>
    <w:tmpl w:val="2E3C0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740B71"/>
    <w:multiLevelType w:val="hybridMultilevel"/>
    <w:tmpl w:val="2F868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32" w15:restartNumberingAfterBreak="0">
    <w:nsid w:val="623847C2"/>
    <w:multiLevelType w:val="hybridMultilevel"/>
    <w:tmpl w:val="EA1A7F34"/>
    <w:lvl w:ilvl="0" w:tplc="4FD0794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547E01"/>
    <w:multiLevelType w:val="hybridMultilevel"/>
    <w:tmpl w:val="6228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7049EB"/>
    <w:multiLevelType w:val="hybridMultilevel"/>
    <w:tmpl w:val="EDA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6" w15:restartNumberingAfterBreak="0">
    <w:nsid w:val="6AC255A7"/>
    <w:multiLevelType w:val="hybridMultilevel"/>
    <w:tmpl w:val="78E8F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1C6FF3"/>
    <w:multiLevelType w:val="hybridMultilevel"/>
    <w:tmpl w:val="211C9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C71C6C"/>
    <w:multiLevelType w:val="hybridMultilevel"/>
    <w:tmpl w:val="4DD0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326A22"/>
    <w:multiLevelType w:val="hybridMultilevel"/>
    <w:tmpl w:val="B8202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440989"/>
    <w:multiLevelType w:val="hybridMultilevel"/>
    <w:tmpl w:val="3B42AA88"/>
    <w:lvl w:ilvl="0" w:tplc="A0D231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0"/>
  </w:num>
  <w:num w:numId="4">
    <w:abstractNumId w:val="31"/>
  </w:num>
  <w:num w:numId="5">
    <w:abstractNumId w:val="19"/>
  </w:num>
  <w:num w:numId="6">
    <w:abstractNumId w:val="35"/>
    <w:lvlOverride w:ilvl="0">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2"/>
  </w:num>
  <w:num w:numId="10">
    <w:abstractNumId w:val="23"/>
  </w:num>
  <w:num w:numId="11">
    <w:abstractNumId w:val="37"/>
  </w:num>
  <w:num w:numId="12">
    <w:abstractNumId w:val="11"/>
  </w:num>
  <w:num w:numId="13">
    <w:abstractNumId w:val="12"/>
  </w:num>
  <w:num w:numId="14">
    <w:abstractNumId w:val="40"/>
  </w:num>
  <w:num w:numId="15">
    <w:abstractNumId w:val="7"/>
  </w:num>
  <w:num w:numId="16">
    <w:abstractNumId w:val="39"/>
  </w:num>
  <w:num w:numId="17">
    <w:abstractNumId w:val="10"/>
  </w:num>
  <w:num w:numId="18">
    <w:abstractNumId w:val="32"/>
  </w:num>
  <w:num w:numId="19">
    <w:abstractNumId w:val="32"/>
    <w:lvlOverride w:ilvl="0">
      <w:startOverride w:val="1"/>
    </w:lvlOverride>
  </w:num>
  <w:num w:numId="20">
    <w:abstractNumId w:val="32"/>
    <w:lvlOverride w:ilvl="0">
      <w:startOverride w:val="1"/>
    </w:lvlOverride>
  </w:num>
  <w:num w:numId="21">
    <w:abstractNumId w:val="32"/>
    <w:lvlOverride w:ilvl="0">
      <w:startOverride w:val="1"/>
    </w:lvlOverride>
  </w:num>
  <w:num w:numId="22">
    <w:abstractNumId w:val="8"/>
  </w:num>
  <w:num w:numId="23">
    <w:abstractNumId w:val="2"/>
  </w:num>
  <w:num w:numId="24">
    <w:abstractNumId w:val="36"/>
  </w:num>
  <w:num w:numId="25">
    <w:abstractNumId w:val="5"/>
  </w:num>
  <w:num w:numId="26">
    <w:abstractNumId w:val="20"/>
  </w:num>
  <w:num w:numId="27">
    <w:abstractNumId w:val="28"/>
  </w:num>
  <w:num w:numId="28">
    <w:abstractNumId w:val="17"/>
  </w:num>
  <w:num w:numId="29">
    <w:abstractNumId w:val="38"/>
  </w:num>
  <w:num w:numId="30">
    <w:abstractNumId w:val="32"/>
    <w:lvlOverride w:ilvl="0">
      <w:startOverride w:val="1"/>
    </w:lvlOverride>
  </w:num>
  <w:num w:numId="31">
    <w:abstractNumId w:val="25"/>
  </w:num>
  <w:num w:numId="32">
    <w:abstractNumId w:val="14"/>
  </w:num>
  <w:num w:numId="33">
    <w:abstractNumId w:val="3"/>
  </w:num>
  <w:num w:numId="34">
    <w:abstractNumId w:val="13"/>
  </w:num>
  <w:num w:numId="35">
    <w:abstractNumId w:val="21"/>
  </w:num>
  <w:num w:numId="36">
    <w:abstractNumId w:val="30"/>
  </w:num>
  <w:num w:numId="37">
    <w:abstractNumId w:val="6"/>
  </w:num>
  <w:num w:numId="38">
    <w:abstractNumId w:val="16"/>
  </w:num>
  <w:num w:numId="39">
    <w:abstractNumId w:val="27"/>
  </w:num>
  <w:num w:numId="40">
    <w:abstractNumId w:val="4"/>
  </w:num>
  <w:num w:numId="41">
    <w:abstractNumId w:val="34"/>
  </w:num>
  <w:num w:numId="42">
    <w:abstractNumId w:val="24"/>
  </w:num>
  <w:num w:numId="43">
    <w:abstractNumId w:val="18"/>
  </w:num>
  <w:num w:numId="44">
    <w:abstractNumId w:val="22"/>
  </w:num>
  <w:num w:numId="45">
    <w:abstractNumId w:val="33"/>
  </w:num>
  <w:num w:numId="4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gutterAtTop/>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D3"/>
    <w:rsid w:val="0000031A"/>
    <w:rsid w:val="00001C08"/>
    <w:rsid w:val="00002BF1"/>
    <w:rsid w:val="00004F75"/>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3783"/>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44E8"/>
    <w:rsid w:val="000562A7"/>
    <w:rsid w:val="000564F8"/>
    <w:rsid w:val="0005750F"/>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4"/>
    <w:rsid w:val="00086D87"/>
    <w:rsid w:val="000872D6"/>
    <w:rsid w:val="00090628"/>
    <w:rsid w:val="00091ED3"/>
    <w:rsid w:val="0009452F"/>
    <w:rsid w:val="00096701"/>
    <w:rsid w:val="000A0C05"/>
    <w:rsid w:val="000A33D4"/>
    <w:rsid w:val="000A41E7"/>
    <w:rsid w:val="000A451E"/>
    <w:rsid w:val="000A796C"/>
    <w:rsid w:val="000A7A61"/>
    <w:rsid w:val="000B09C8"/>
    <w:rsid w:val="000B0E0A"/>
    <w:rsid w:val="000B0E22"/>
    <w:rsid w:val="000B1FC2"/>
    <w:rsid w:val="000B2886"/>
    <w:rsid w:val="000B30E1"/>
    <w:rsid w:val="000B4F65"/>
    <w:rsid w:val="000B57D8"/>
    <w:rsid w:val="000B75CB"/>
    <w:rsid w:val="000B7AAC"/>
    <w:rsid w:val="000B7D49"/>
    <w:rsid w:val="000C0FB5"/>
    <w:rsid w:val="000C1078"/>
    <w:rsid w:val="000C16A7"/>
    <w:rsid w:val="000C1BCD"/>
    <w:rsid w:val="000C250C"/>
    <w:rsid w:val="000C43DF"/>
    <w:rsid w:val="000C47C2"/>
    <w:rsid w:val="000C575E"/>
    <w:rsid w:val="000C61FB"/>
    <w:rsid w:val="000C6F89"/>
    <w:rsid w:val="000C7D4F"/>
    <w:rsid w:val="000D039D"/>
    <w:rsid w:val="000D2063"/>
    <w:rsid w:val="000D24EC"/>
    <w:rsid w:val="000D2C3A"/>
    <w:rsid w:val="000D64D8"/>
    <w:rsid w:val="000D74C6"/>
    <w:rsid w:val="000E0886"/>
    <w:rsid w:val="000E3B41"/>
    <w:rsid w:val="000E3C1C"/>
    <w:rsid w:val="000E41B7"/>
    <w:rsid w:val="000E6BA0"/>
    <w:rsid w:val="000F174A"/>
    <w:rsid w:val="00100B59"/>
    <w:rsid w:val="00100DC5"/>
    <w:rsid w:val="00100E27"/>
    <w:rsid w:val="00101135"/>
    <w:rsid w:val="0010259B"/>
    <w:rsid w:val="00103D80"/>
    <w:rsid w:val="00104A05"/>
    <w:rsid w:val="00105C44"/>
    <w:rsid w:val="00106009"/>
    <w:rsid w:val="001061F9"/>
    <w:rsid w:val="001068B3"/>
    <w:rsid w:val="00107B76"/>
    <w:rsid w:val="001113CC"/>
    <w:rsid w:val="001135CE"/>
    <w:rsid w:val="00113763"/>
    <w:rsid w:val="00114B7D"/>
    <w:rsid w:val="001155B1"/>
    <w:rsid w:val="00115FD6"/>
    <w:rsid w:val="001177C4"/>
    <w:rsid w:val="00117B7D"/>
    <w:rsid w:val="00117FF3"/>
    <w:rsid w:val="0012093E"/>
    <w:rsid w:val="00122D24"/>
    <w:rsid w:val="00125618"/>
    <w:rsid w:val="001258A5"/>
    <w:rsid w:val="00125C6C"/>
    <w:rsid w:val="00126A55"/>
    <w:rsid w:val="00127648"/>
    <w:rsid w:val="0013032B"/>
    <w:rsid w:val="001305EA"/>
    <w:rsid w:val="001328FA"/>
    <w:rsid w:val="00133E1D"/>
    <w:rsid w:val="00134700"/>
    <w:rsid w:val="00134E23"/>
    <w:rsid w:val="00135E80"/>
    <w:rsid w:val="00136B86"/>
    <w:rsid w:val="0013780E"/>
    <w:rsid w:val="00140753"/>
    <w:rsid w:val="0014239C"/>
    <w:rsid w:val="00143921"/>
    <w:rsid w:val="00146F04"/>
    <w:rsid w:val="001478FD"/>
    <w:rsid w:val="00150EBC"/>
    <w:rsid w:val="001520B0"/>
    <w:rsid w:val="0015446A"/>
    <w:rsid w:val="0015487C"/>
    <w:rsid w:val="00155144"/>
    <w:rsid w:val="00155F19"/>
    <w:rsid w:val="0015712E"/>
    <w:rsid w:val="00162C3A"/>
    <w:rsid w:val="0017063C"/>
    <w:rsid w:val="00170CB5"/>
    <w:rsid w:val="00171601"/>
    <w:rsid w:val="00171A5F"/>
    <w:rsid w:val="00172662"/>
    <w:rsid w:val="00174183"/>
    <w:rsid w:val="001749BD"/>
    <w:rsid w:val="00176C65"/>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3503"/>
    <w:rsid w:val="001939CA"/>
    <w:rsid w:val="00193B82"/>
    <w:rsid w:val="0019600C"/>
    <w:rsid w:val="001967FC"/>
    <w:rsid w:val="00196CF1"/>
    <w:rsid w:val="00197B41"/>
    <w:rsid w:val="001A03EA"/>
    <w:rsid w:val="001A3627"/>
    <w:rsid w:val="001A7266"/>
    <w:rsid w:val="001B1C8C"/>
    <w:rsid w:val="001B3065"/>
    <w:rsid w:val="001B33C0"/>
    <w:rsid w:val="001B5E34"/>
    <w:rsid w:val="001C23F1"/>
    <w:rsid w:val="001C2997"/>
    <w:rsid w:val="001C336E"/>
    <w:rsid w:val="001C4DB7"/>
    <w:rsid w:val="001C6C9B"/>
    <w:rsid w:val="001D1662"/>
    <w:rsid w:val="001D3092"/>
    <w:rsid w:val="001D4CD1"/>
    <w:rsid w:val="001D66C2"/>
    <w:rsid w:val="001E1F93"/>
    <w:rsid w:val="001E24CF"/>
    <w:rsid w:val="001E3097"/>
    <w:rsid w:val="001E4B06"/>
    <w:rsid w:val="001E5F98"/>
    <w:rsid w:val="001E6DAB"/>
    <w:rsid w:val="001F01F4"/>
    <w:rsid w:val="001F0F26"/>
    <w:rsid w:val="001F64BE"/>
    <w:rsid w:val="001F7070"/>
    <w:rsid w:val="001F7807"/>
    <w:rsid w:val="00200766"/>
    <w:rsid w:val="00200EF2"/>
    <w:rsid w:val="002016B9"/>
    <w:rsid w:val="00201825"/>
    <w:rsid w:val="00201CB2"/>
    <w:rsid w:val="00203A95"/>
    <w:rsid w:val="002046F7"/>
    <w:rsid w:val="0020478D"/>
    <w:rsid w:val="002054D0"/>
    <w:rsid w:val="00206EFD"/>
    <w:rsid w:val="00210D95"/>
    <w:rsid w:val="00213373"/>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1A0"/>
    <w:rsid w:val="00241C93"/>
    <w:rsid w:val="0024214A"/>
    <w:rsid w:val="002441F2"/>
    <w:rsid w:val="0024438F"/>
    <w:rsid w:val="00244985"/>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A36"/>
    <w:rsid w:val="002810D3"/>
    <w:rsid w:val="002847AE"/>
    <w:rsid w:val="002870F2"/>
    <w:rsid w:val="00287650"/>
    <w:rsid w:val="00290154"/>
    <w:rsid w:val="00291E56"/>
    <w:rsid w:val="00294F88"/>
    <w:rsid w:val="00294FCC"/>
    <w:rsid w:val="00295516"/>
    <w:rsid w:val="002A10A1"/>
    <w:rsid w:val="002A1AB8"/>
    <w:rsid w:val="002A28DB"/>
    <w:rsid w:val="002A3161"/>
    <w:rsid w:val="002A3410"/>
    <w:rsid w:val="002A44D1"/>
    <w:rsid w:val="002A4631"/>
    <w:rsid w:val="002A6EA6"/>
    <w:rsid w:val="002B0A3E"/>
    <w:rsid w:val="002B108B"/>
    <w:rsid w:val="002B12DE"/>
    <w:rsid w:val="002B270D"/>
    <w:rsid w:val="002B3375"/>
    <w:rsid w:val="002B4745"/>
    <w:rsid w:val="002B480D"/>
    <w:rsid w:val="002B4845"/>
    <w:rsid w:val="002B4AC3"/>
    <w:rsid w:val="002B7744"/>
    <w:rsid w:val="002C05AC"/>
    <w:rsid w:val="002C3953"/>
    <w:rsid w:val="002C3D25"/>
    <w:rsid w:val="002C56A0"/>
    <w:rsid w:val="002D12FF"/>
    <w:rsid w:val="002D1BAC"/>
    <w:rsid w:val="002D21A5"/>
    <w:rsid w:val="002D4413"/>
    <w:rsid w:val="002D7247"/>
    <w:rsid w:val="002E26F3"/>
    <w:rsid w:val="002E2F23"/>
    <w:rsid w:val="002E4D5B"/>
    <w:rsid w:val="002E5474"/>
    <w:rsid w:val="002E5699"/>
    <w:rsid w:val="002E5832"/>
    <w:rsid w:val="002E633F"/>
    <w:rsid w:val="002F0463"/>
    <w:rsid w:val="002F0BF7"/>
    <w:rsid w:val="002F1BD9"/>
    <w:rsid w:val="002F3A6D"/>
    <w:rsid w:val="002F4410"/>
    <w:rsid w:val="002F5D90"/>
    <w:rsid w:val="002F749C"/>
    <w:rsid w:val="00303813"/>
    <w:rsid w:val="00310348"/>
    <w:rsid w:val="00310EE6"/>
    <w:rsid w:val="00311628"/>
    <w:rsid w:val="0031221D"/>
    <w:rsid w:val="003123F7"/>
    <w:rsid w:val="00313B2F"/>
    <w:rsid w:val="00314B9D"/>
    <w:rsid w:val="00314DD8"/>
    <w:rsid w:val="0031559F"/>
    <w:rsid w:val="003155A3"/>
    <w:rsid w:val="00316A7F"/>
    <w:rsid w:val="00316FDF"/>
    <w:rsid w:val="00317B24"/>
    <w:rsid w:val="00317D8E"/>
    <w:rsid w:val="00317E8F"/>
    <w:rsid w:val="00320752"/>
    <w:rsid w:val="003209E8"/>
    <w:rsid w:val="003211F4"/>
    <w:rsid w:val="0032193F"/>
    <w:rsid w:val="00322186"/>
    <w:rsid w:val="00322962"/>
    <w:rsid w:val="0032403E"/>
    <w:rsid w:val="00324D73"/>
    <w:rsid w:val="00325B7B"/>
    <w:rsid w:val="003276B7"/>
    <w:rsid w:val="0033193C"/>
    <w:rsid w:val="00332B30"/>
    <w:rsid w:val="0033459A"/>
    <w:rsid w:val="0033532B"/>
    <w:rsid w:val="00337929"/>
    <w:rsid w:val="00340003"/>
    <w:rsid w:val="00342B92"/>
    <w:rsid w:val="00344173"/>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C8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6F16"/>
    <w:rsid w:val="003B7BBB"/>
    <w:rsid w:val="003C1704"/>
    <w:rsid w:val="003C30E5"/>
    <w:rsid w:val="003C346D"/>
    <w:rsid w:val="003C3990"/>
    <w:rsid w:val="003C434B"/>
    <w:rsid w:val="003C489D"/>
    <w:rsid w:val="003C54B8"/>
    <w:rsid w:val="003C687F"/>
    <w:rsid w:val="003C723C"/>
    <w:rsid w:val="003D0F7F"/>
    <w:rsid w:val="003D6797"/>
    <w:rsid w:val="003D779D"/>
    <w:rsid w:val="003D78A2"/>
    <w:rsid w:val="003E03FD"/>
    <w:rsid w:val="003E15EE"/>
    <w:rsid w:val="003E2D0E"/>
    <w:rsid w:val="003F0971"/>
    <w:rsid w:val="003F28DA"/>
    <w:rsid w:val="003F2C2F"/>
    <w:rsid w:val="003F35B8"/>
    <w:rsid w:val="003F3F97"/>
    <w:rsid w:val="003F42CF"/>
    <w:rsid w:val="003F4EA0"/>
    <w:rsid w:val="003F69BE"/>
    <w:rsid w:val="003F7D20"/>
    <w:rsid w:val="004013F6"/>
    <w:rsid w:val="004045C1"/>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431"/>
    <w:rsid w:val="004479D8"/>
    <w:rsid w:val="00447C97"/>
    <w:rsid w:val="00451168"/>
    <w:rsid w:val="00451506"/>
    <w:rsid w:val="00452D84"/>
    <w:rsid w:val="00453739"/>
    <w:rsid w:val="0045627B"/>
    <w:rsid w:val="00456C90"/>
    <w:rsid w:val="00457160"/>
    <w:rsid w:val="004614C9"/>
    <w:rsid w:val="00463BFC"/>
    <w:rsid w:val="004657D6"/>
    <w:rsid w:val="00465D47"/>
    <w:rsid w:val="00466109"/>
    <w:rsid w:val="00473346"/>
    <w:rsid w:val="00476168"/>
    <w:rsid w:val="00476284"/>
    <w:rsid w:val="00480116"/>
    <w:rsid w:val="0048084F"/>
    <w:rsid w:val="00480E3F"/>
    <w:rsid w:val="004810BD"/>
    <w:rsid w:val="0048175E"/>
    <w:rsid w:val="0048196E"/>
    <w:rsid w:val="00483B44"/>
    <w:rsid w:val="00483CA9"/>
    <w:rsid w:val="004850B9"/>
    <w:rsid w:val="0048525B"/>
    <w:rsid w:val="00485CCD"/>
    <w:rsid w:val="00485DB5"/>
    <w:rsid w:val="0048608B"/>
    <w:rsid w:val="00486D2B"/>
    <w:rsid w:val="00490D60"/>
    <w:rsid w:val="0049122A"/>
    <w:rsid w:val="004926D1"/>
    <w:rsid w:val="004949C7"/>
    <w:rsid w:val="00494FDC"/>
    <w:rsid w:val="004959EF"/>
    <w:rsid w:val="004A161B"/>
    <w:rsid w:val="004A4146"/>
    <w:rsid w:val="004A4408"/>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06BB"/>
    <w:rsid w:val="004C1CD6"/>
    <w:rsid w:val="004C20CF"/>
    <w:rsid w:val="004C2E2E"/>
    <w:rsid w:val="004C3650"/>
    <w:rsid w:val="004C4D54"/>
    <w:rsid w:val="004C6CB2"/>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3FC"/>
    <w:rsid w:val="00511F4D"/>
    <w:rsid w:val="0051574E"/>
    <w:rsid w:val="005171D2"/>
    <w:rsid w:val="0051725F"/>
    <w:rsid w:val="00520095"/>
    <w:rsid w:val="00520645"/>
    <w:rsid w:val="0052168D"/>
    <w:rsid w:val="0052396A"/>
    <w:rsid w:val="0052782C"/>
    <w:rsid w:val="00530E46"/>
    <w:rsid w:val="005324EF"/>
    <w:rsid w:val="0053286B"/>
    <w:rsid w:val="00536369"/>
    <w:rsid w:val="00540E99"/>
    <w:rsid w:val="00541130"/>
    <w:rsid w:val="00546A8B"/>
    <w:rsid w:val="00546BB8"/>
    <w:rsid w:val="00551073"/>
    <w:rsid w:val="00551DA4"/>
    <w:rsid w:val="0055213A"/>
    <w:rsid w:val="005531D2"/>
    <w:rsid w:val="00554956"/>
    <w:rsid w:val="00554F5B"/>
    <w:rsid w:val="00557BE6"/>
    <w:rsid w:val="005600BC"/>
    <w:rsid w:val="00563104"/>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4E96"/>
    <w:rsid w:val="00596689"/>
    <w:rsid w:val="005A16FB"/>
    <w:rsid w:val="005A1A68"/>
    <w:rsid w:val="005A2A5A"/>
    <w:rsid w:val="005A3375"/>
    <w:rsid w:val="005A39FC"/>
    <w:rsid w:val="005A3B66"/>
    <w:rsid w:val="005A42E3"/>
    <w:rsid w:val="005A5F04"/>
    <w:rsid w:val="005A6DC2"/>
    <w:rsid w:val="005B0870"/>
    <w:rsid w:val="005B1762"/>
    <w:rsid w:val="005B3111"/>
    <w:rsid w:val="005B4B88"/>
    <w:rsid w:val="005B4D37"/>
    <w:rsid w:val="005B5D60"/>
    <w:rsid w:val="005B5E31"/>
    <w:rsid w:val="005B64AE"/>
    <w:rsid w:val="005B6E3D"/>
    <w:rsid w:val="005B7298"/>
    <w:rsid w:val="005C1BFC"/>
    <w:rsid w:val="005C7B55"/>
    <w:rsid w:val="005D0175"/>
    <w:rsid w:val="005D1CC4"/>
    <w:rsid w:val="005D2D62"/>
    <w:rsid w:val="005D3AC3"/>
    <w:rsid w:val="005D40C4"/>
    <w:rsid w:val="005D4F1F"/>
    <w:rsid w:val="005D5A78"/>
    <w:rsid w:val="005D5DB0"/>
    <w:rsid w:val="005E0B43"/>
    <w:rsid w:val="005E3C58"/>
    <w:rsid w:val="005E4742"/>
    <w:rsid w:val="005E6829"/>
    <w:rsid w:val="005F26E8"/>
    <w:rsid w:val="005F275A"/>
    <w:rsid w:val="005F2E08"/>
    <w:rsid w:val="005F32A7"/>
    <w:rsid w:val="005F78DD"/>
    <w:rsid w:val="005F7A4D"/>
    <w:rsid w:val="0060359B"/>
    <w:rsid w:val="00603F69"/>
    <w:rsid w:val="006040DA"/>
    <w:rsid w:val="006047BD"/>
    <w:rsid w:val="00607675"/>
    <w:rsid w:val="00610F53"/>
    <w:rsid w:val="006110A6"/>
    <w:rsid w:val="00612E3F"/>
    <w:rsid w:val="00613208"/>
    <w:rsid w:val="00616767"/>
    <w:rsid w:val="0061698B"/>
    <w:rsid w:val="00616F61"/>
    <w:rsid w:val="00620917"/>
    <w:rsid w:val="0062163D"/>
    <w:rsid w:val="00623A9E"/>
    <w:rsid w:val="00624A20"/>
    <w:rsid w:val="00624C9B"/>
    <w:rsid w:val="00625D43"/>
    <w:rsid w:val="00630BB3"/>
    <w:rsid w:val="00632182"/>
    <w:rsid w:val="006335DF"/>
    <w:rsid w:val="00634717"/>
    <w:rsid w:val="00637181"/>
    <w:rsid w:val="00637AF8"/>
    <w:rsid w:val="006412BE"/>
    <w:rsid w:val="0064144D"/>
    <w:rsid w:val="0064160E"/>
    <w:rsid w:val="00642389"/>
    <w:rsid w:val="00644306"/>
    <w:rsid w:val="006450E2"/>
    <w:rsid w:val="006453D8"/>
    <w:rsid w:val="006461D2"/>
    <w:rsid w:val="006478FF"/>
    <w:rsid w:val="00650503"/>
    <w:rsid w:val="00651119"/>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69BE"/>
    <w:rsid w:val="00677DDB"/>
    <w:rsid w:val="00677EF0"/>
    <w:rsid w:val="00680E4F"/>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28E5"/>
    <w:rsid w:val="006B3564"/>
    <w:rsid w:val="006B37E6"/>
    <w:rsid w:val="006B3D8F"/>
    <w:rsid w:val="006B42E3"/>
    <w:rsid w:val="006B44E9"/>
    <w:rsid w:val="006B73E5"/>
    <w:rsid w:val="006D062E"/>
    <w:rsid w:val="006D0817"/>
    <w:rsid w:val="006D2405"/>
    <w:rsid w:val="006D3A0E"/>
    <w:rsid w:val="006D4A39"/>
    <w:rsid w:val="006D53A4"/>
    <w:rsid w:val="006D53D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234"/>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2CB1"/>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4DE9"/>
    <w:rsid w:val="0078667E"/>
    <w:rsid w:val="007919DC"/>
    <w:rsid w:val="00791B72"/>
    <w:rsid w:val="00791C7F"/>
    <w:rsid w:val="007963B2"/>
    <w:rsid w:val="00796888"/>
    <w:rsid w:val="007A1326"/>
    <w:rsid w:val="007A36F3"/>
    <w:rsid w:val="007A55A8"/>
    <w:rsid w:val="007B24C4"/>
    <w:rsid w:val="007B50E4"/>
    <w:rsid w:val="007B5236"/>
    <w:rsid w:val="007C057B"/>
    <w:rsid w:val="007C1A9E"/>
    <w:rsid w:val="007C322C"/>
    <w:rsid w:val="007C6E38"/>
    <w:rsid w:val="007D212E"/>
    <w:rsid w:val="007D22BF"/>
    <w:rsid w:val="007D458F"/>
    <w:rsid w:val="007D5655"/>
    <w:rsid w:val="007D5A52"/>
    <w:rsid w:val="007D7CF5"/>
    <w:rsid w:val="007D7E58"/>
    <w:rsid w:val="007E41AD"/>
    <w:rsid w:val="007E5E9E"/>
    <w:rsid w:val="007F0428"/>
    <w:rsid w:val="007F10E8"/>
    <w:rsid w:val="007F1493"/>
    <w:rsid w:val="007F4973"/>
    <w:rsid w:val="007F576D"/>
    <w:rsid w:val="007F641B"/>
    <w:rsid w:val="007F66A6"/>
    <w:rsid w:val="007F76BF"/>
    <w:rsid w:val="008003CD"/>
    <w:rsid w:val="00800512"/>
    <w:rsid w:val="00801687"/>
    <w:rsid w:val="008019EE"/>
    <w:rsid w:val="00802022"/>
    <w:rsid w:val="0080207C"/>
    <w:rsid w:val="008028A3"/>
    <w:rsid w:val="00803724"/>
    <w:rsid w:val="008059C1"/>
    <w:rsid w:val="0080662F"/>
    <w:rsid w:val="00806C91"/>
    <w:rsid w:val="0081065F"/>
    <w:rsid w:val="00810E72"/>
    <w:rsid w:val="0081179B"/>
    <w:rsid w:val="00812DCB"/>
    <w:rsid w:val="00813FA5"/>
    <w:rsid w:val="00814DB6"/>
    <w:rsid w:val="0081523F"/>
    <w:rsid w:val="00816151"/>
    <w:rsid w:val="00817138"/>
    <w:rsid w:val="00817268"/>
    <w:rsid w:val="008203B7"/>
    <w:rsid w:val="00820BB7"/>
    <w:rsid w:val="008212BE"/>
    <w:rsid w:val="008248E7"/>
    <w:rsid w:val="00824F02"/>
    <w:rsid w:val="00825595"/>
    <w:rsid w:val="00826BD1"/>
    <w:rsid w:val="00826C4F"/>
    <w:rsid w:val="00830A48"/>
    <w:rsid w:val="00831C89"/>
    <w:rsid w:val="00832DA5"/>
    <w:rsid w:val="00832F4B"/>
    <w:rsid w:val="008332D6"/>
    <w:rsid w:val="00833A2E"/>
    <w:rsid w:val="00833EDF"/>
    <w:rsid w:val="00834038"/>
    <w:rsid w:val="008377AF"/>
    <w:rsid w:val="00837D88"/>
    <w:rsid w:val="008404C4"/>
    <w:rsid w:val="0084056D"/>
    <w:rsid w:val="00841080"/>
    <w:rsid w:val="008412F7"/>
    <w:rsid w:val="008414BB"/>
    <w:rsid w:val="00841B54"/>
    <w:rsid w:val="008434A7"/>
    <w:rsid w:val="00843D5A"/>
    <w:rsid w:val="00843ED1"/>
    <w:rsid w:val="008505DC"/>
    <w:rsid w:val="008509F0"/>
    <w:rsid w:val="00851875"/>
    <w:rsid w:val="00852357"/>
    <w:rsid w:val="00852B7B"/>
    <w:rsid w:val="0085448C"/>
    <w:rsid w:val="00855048"/>
    <w:rsid w:val="008563D3"/>
    <w:rsid w:val="00856E64"/>
    <w:rsid w:val="00860A52"/>
    <w:rsid w:val="00862960"/>
    <w:rsid w:val="00863420"/>
    <w:rsid w:val="00863532"/>
    <w:rsid w:val="00863A26"/>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27D"/>
    <w:rsid w:val="008A0836"/>
    <w:rsid w:val="008A21F0"/>
    <w:rsid w:val="008A5DE5"/>
    <w:rsid w:val="008B1FDB"/>
    <w:rsid w:val="008B367A"/>
    <w:rsid w:val="008B430F"/>
    <w:rsid w:val="008B44C9"/>
    <w:rsid w:val="008B4DA3"/>
    <w:rsid w:val="008B4FF4"/>
    <w:rsid w:val="008B5936"/>
    <w:rsid w:val="008B62C6"/>
    <w:rsid w:val="008B6729"/>
    <w:rsid w:val="008B71BA"/>
    <w:rsid w:val="008C0567"/>
    <w:rsid w:val="008C1171"/>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2C3"/>
    <w:rsid w:val="008F1F6A"/>
    <w:rsid w:val="008F23B5"/>
    <w:rsid w:val="008F28E7"/>
    <w:rsid w:val="008F364E"/>
    <w:rsid w:val="008F3EDF"/>
    <w:rsid w:val="008F4B85"/>
    <w:rsid w:val="0090053B"/>
    <w:rsid w:val="00900FCF"/>
    <w:rsid w:val="00901298"/>
    <w:rsid w:val="009019BB"/>
    <w:rsid w:val="00902919"/>
    <w:rsid w:val="0090315B"/>
    <w:rsid w:val="00903EF8"/>
    <w:rsid w:val="00904350"/>
    <w:rsid w:val="00905926"/>
    <w:rsid w:val="0090604A"/>
    <w:rsid w:val="009078AB"/>
    <w:rsid w:val="0091055E"/>
    <w:rsid w:val="00912EC7"/>
    <w:rsid w:val="009153A2"/>
    <w:rsid w:val="00915AC4"/>
    <w:rsid w:val="00915FA3"/>
    <w:rsid w:val="00920A1E"/>
    <w:rsid w:val="00920C71"/>
    <w:rsid w:val="009221C8"/>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0F53"/>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81475"/>
    <w:rsid w:val="00981668"/>
    <w:rsid w:val="00984331"/>
    <w:rsid w:val="00984C07"/>
    <w:rsid w:val="00985F69"/>
    <w:rsid w:val="00986B75"/>
    <w:rsid w:val="00987813"/>
    <w:rsid w:val="00990C18"/>
    <w:rsid w:val="00990C46"/>
    <w:rsid w:val="00991DC1"/>
    <w:rsid w:val="00991DEF"/>
    <w:rsid w:val="00992659"/>
    <w:rsid w:val="0099359F"/>
    <w:rsid w:val="00993F37"/>
    <w:rsid w:val="00995954"/>
    <w:rsid w:val="00995E81"/>
    <w:rsid w:val="00996470"/>
    <w:rsid w:val="00996603"/>
    <w:rsid w:val="009974B3"/>
    <w:rsid w:val="00997F5D"/>
    <w:rsid w:val="009A09AC"/>
    <w:rsid w:val="009A2864"/>
    <w:rsid w:val="009A40D9"/>
    <w:rsid w:val="009B0714"/>
    <w:rsid w:val="009B08F7"/>
    <w:rsid w:val="009B165F"/>
    <w:rsid w:val="009B2E67"/>
    <w:rsid w:val="009B417F"/>
    <w:rsid w:val="009B4483"/>
    <w:rsid w:val="009B5879"/>
    <w:rsid w:val="009B5A96"/>
    <w:rsid w:val="009B6030"/>
    <w:rsid w:val="009C098A"/>
    <w:rsid w:val="009C0DA0"/>
    <w:rsid w:val="009C1AD9"/>
    <w:rsid w:val="009C1FCA"/>
    <w:rsid w:val="009C3001"/>
    <w:rsid w:val="009C30B9"/>
    <w:rsid w:val="009C372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232"/>
    <w:rsid w:val="009D67D9"/>
    <w:rsid w:val="009D72A2"/>
    <w:rsid w:val="009D781C"/>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43CE"/>
    <w:rsid w:val="00A16D9B"/>
    <w:rsid w:val="00A21A49"/>
    <w:rsid w:val="00A231E9"/>
    <w:rsid w:val="00A26C0B"/>
    <w:rsid w:val="00A307AE"/>
    <w:rsid w:val="00A30A59"/>
    <w:rsid w:val="00A320CA"/>
    <w:rsid w:val="00A34F12"/>
    <w:rsid w:val="00A360CF"/>
    <w:rsid w:val="00A3669F"/>
    <w:rsid w:val="00A36BC6"/>
    <w:rsid w:val="00A41A01"/>
    <w:rsid w:val="00A429A9"/>
    <w:rsid w:val="00A43CFF"/>
    <w:rsid w:val="00A46743"/>
    <w:rsid w:val="00A47719"/>
    <w:rsid w:val="00A47EAB"/>
    <w:rsid w:val="00A5068D"/>
    <w:rsid w:val="00A509B4"/>
    <w:rsid w:val="00A5140F"/>
    <w:rsid w:val="00A54C7B"/>
    <w:rsid w:val="00A54CFD"/>
    <w:rsid w:val="00A5639F"/>
    <w:rsid w:val="00A57040"/>
    <w:rsid w:val="00A60064"/>
    <w:rsid w:val="00A60A9B"/>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1BB2"/>
    <w:rsid w:val="00AB21BC"/>
    <w:rsid w:val="00AB23C3"/>
    <w:rsid w:val="00AB24DB"/>
    <w:rsid w:val="00AB35D0"/>
    <w:rsid w:val="00AB77E7"/>
    <w:rsid w:val="00AC0B38"/>
    <w:rsid w:val="00AC1DCF"/>
    <w:rsid w:val="00AC23B1"/>
    <w:rsid w:val="00AC260E"/>
    <w:rsid w:val="00AC2AF9"/>
    <w:rsid w:val="00AC2E9D"/>
    <w:rsid w:val="00AC2F71"/>
    <w:rsid w:val="00AC3264"/>
    <w:rsid w:val="00AC47A6"/>
    <w:rsid w:val="00AC78ED"/>
    <w:rsid w:val="00AD02D3"/>
    <w:rsid w:val="00AD05EE"/>
    <w:rsid w:val="00AD3675"/>
    <w:rsid w:val="00AD56A9"/>
    <w:rsid w:val="00AD69C4"/>
    <w:rsid w:val="00AD6A4E"/>
    <w:rsid w:val="00AD6F0C"/>
    <w:rsid w:val="00AD7F74"/>
    <w:rsid w:val="00AE1C5F"/>
    <w:rsid w:val="00AE3875"/>
    <w:rsid w:val="00AE3899"/>
    <w:rsid w:val="00AE6CD2"/>
    <w:rsid w:val="00AE776A"/>
    <w:rsid w:val="00AF1F68"/>
    <w:rsid w:val="00AF27B7"/>
    <w:rsid w:val="00AF2BB2"/>
    <w:rsid w:val="00AF3C5D"/>
    <w:rsid w:val="00AF4072"/>
    <w:rsid w:val="00AF726A"/>
    <w:rsid w:val="00AF7AB4"/>
    <w:rsid w:val="00AF7B91"/>
    <w:rsid w:val="00B00015"/>
    <w:rsid w:val="00B033DD"/>
    <w:rsid w:val="00B0387F"/>
    <w:rsid w:val="00B043A6"/>
    <w:rsid w:val="00B06DE8"/>
    <w:rsid w:val="00B07AE1"/>
    <w:rsid w:val="00B07D23"/>
    <w:rsid w:val="00B117BC"/>
    <w:rsid w:val="00B12968"/>
    <w:rsid w:val="00B131FF"/>
    <w:rsid w:val="00B13498"/>
    <w:rsid w:val="00B13DA2"/>
    <w:rsid w:val="00B1672A"/>
    <w:rsid w:val="00B16E71"/>
    <w:rsid w:val="00B174BD"/>
    <w:rsid w:val="00B20690"/>
    <w:rsid w:val="00B20B2A"/>
    <w:rsid w:val="00B2129B"/>
    <w:rsid w:val="00B2221D"/>
    <w:rsid w:val="00B22FA7"/>
    <w:rsid w:val="00B24845"/>
    <w:rsid w:val="00B2546E"/>
    <w:rsid w:val="00B26370"/>
    <w:rsid w:val="00B27D18"/>
    <w:rsid w:val="00B300DB"/>
    <w:rsid w:val="00B32BEC"/>
    <w:rsid w:val="00B35B87"/>
    <w:rsid w:val="00B40556"/>
    <w:rsid w:val="00B4212C"/>
    <w:rsid w:val="00B43107"/>
    <w:rsid w:val="00B45AC4"/>
    <w:rsid w:val="00B45E0A"/>
    <w:rsid w:val="00B47A18"/>
    <w:rsid w:val="00B51CD5"/>
    <w:rsid w:val="00B53824"/>
    <w:rsid w:val="00B53857"/>
    <w:rsid w:val="00B53F03"/>
    <w:rsid w:val="00B54009"/>
    <w:rsid w:val="00B54B6C"/>
    <w:rsid w:val="00B6083F"/>
    <w:rsid w:val="00B61504"/>
    <w:rsid w:val="00B62E95"/>
    <w:rsid w:val="00B63ABC"/>
    <w:rsid w:val="00B64D3D"/>
    <w:rsid w:val="00B6562C"/>
    <w:rsid w:val="00B720C9"/>
    <w:rsid w:val="00B72A5B"/>
    <w:rsid w:val="00B7391B"/>
    <w:rsid w:val="00B743E7"/>
    <w:rsid w:val="00B74B80"/>
    <w:rsid w:val="00B768A9"/>
    <w:rsid w:val="00B76ADB"/>
    <w:rsid w:val="00B76E90"/>
    <w:rsid w:val="00B8005C"/>
    <w:rsid w:val="00B86312"/>
    <w:rsid w:val="00B8666B"/>
    <w:rsid w:val="00B904F4"/>
    <w:rsid w:val="00B90BD1"/>
    <w:rsid w:val="00B9109F"/>
    <w:rsid w:val="00B92536"/>
    <w:rsid w:val="00B9274D"/>
    <w:rsid w:val="00B94207"/>
    <w:rsid w:val="00B945D4"/>
    <w:rsid w:val="00B9506C"/>
    <w:rsid w:val="00B97B50"/>
    <w:rsid w:val="00BA3959"/>
    <w:rsid w:val="00BA4E77"/>
    <w:rsid w:val="00BA563D"/>
    <w:rsid w:val="00BA7AC9"/>
    <w:rsid w:val="00BB1855"/>
    <w:rsid w:val="00BB2332"/>
    <w:rsid w:val="00BB2494"/>
    <w:rsid w:val="00BB2522"/>
    <w:rsid w:val="00BB5218"/>
    <w:rsid w:val="00BB72C0"/>
    <w:rsid w:val="00BC12FD"/>
    <w:rsid w:val="00BC3779"/>
    <w:rsid w:val="00BC41A0"/>
    <w:rsid w:val="00BC43D8"/>
    <w:rsid w:val="00BC47F1"/>
    <w:rsid w:val="00BD0186"/>
    <w:rsid w:val="00BD1661"/>
    <w:rsid w:val="00BD6178"/>
    <w:rsid w:val="00BD6348"/>
    <w:rsid w:val="00BE147F"/>
    <w:rsid w:val="00BE1BBC"/>
    <w:rsid w:val="00BE46B5"/>
    <w:rsid w:val="00BE6663"/>
    <w:rsid w:val="00BE6E4A"/>
    <w:rsid w:val="00BE7487"/>
    <w:rsid w:val="00BE7E7E"/>
    <w:rsid w:val="00BF0917"/>
    <w:rsid w:val="00BF0CD7"/>
    <w:rsid w:val="00BF143E"/>
    <w:rsid w:val="00BF15CE"/>
    <w:rsid w:val="00BF2157"/>
    <w:rsid w:val="00BF2FC3"/>
    <w:rsid w:val="00BF37C3"/>
    <w:rsid w:val="00BF47D6"/>
    <w:rsid w:val="00BF695B"/>
    <w:rsid w:val="00BF71B0"/>
    <w:rsid w:val="00C00D07"/>
    <w:rsid w:val="00C0161F"/>
    <w:rsid w:val="00C030BD"/>
    <w:rsid w:val="00C03266"/>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56A"/>
    <w:rsid w:val="00C16CF7"/>
    <w:rsid w:val="00C1717A"/>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7B27"/>
    <w:rsid w:val="00C57EE8"/>
    <w:rsid w:val="00C61072"/>
    <w:rsid w:val="00C610C8"/>
    <w:rsid w:val="00C6243C"/>
    <w:rsid w:val="00C62F54"/>
    <w:rsid w:val="00C63AEA"/>
    <w:rsid w:val="00C67BBF"/>
    <w:rsid w:val="00C70168"/>
    <w:rsid w:val="00C718DD"/>
    <w:rsid w:val="00C71AFB"/>
    <w:rsid w:val="00C74707"/>
    <w:rsid w:val="00C74BB5"/>
    <w:rsid w:val="00C767C7"/>
    <w:rsid w:val="00C77330"/>
    <w:rsid w:val="00C779FD"/>
    <w:rsid w:val="00C77D84"/>
    <w:rsid w:val="00C80B9E"/>
    <w:rsid w:val="00C8373E"/>
    <w:rsid w:val="00C841B7"/>
    <w:rsid w:val="00C8667D"/>
    <w:rsid w:val="00C86967"/>
    <w:rsid w:val="00C91740"/>
    <w:rsid w:val="00C928A8"/>
    <w:rsid w:val="00C95246"/>
    <w:rsid w:val="00C97A48"/>
    <w:rsid w:val="00CA0CF7"/>
    <w:rsid w:val="00CA103E"/>
    <w:rsid w:val="00CA6C45"/>
    <w:rsid w:val="00CA74F6"/>
    <w:rsid w:val="00CA7603"/>
    <w:rsid w:val="00CB364E"/>
    <w:rsid w:val="00CB37B8"/>
    <w:rsid w:val="00CB4C57"/>
    <w:rsid w:val="00CB4F1A"/>
    <w:rsid w:val="00CB58B4"/>
    <w:rsid w:val="00CB6577"/>
    <w:rsid w:val="00CC1FE9"/>
    <w:rsid w:val="00CC273C"/>
    <w:rsid w:val="00CC3B49"/>
    <w:rsid w:val="00CC3D04"/>
    <w:rsid w:val="00CC4AF7"/>
    <w:rsid w:val="00CC54E5"/>
    <w:rsid w:val="00CC59D4"/>
    <w:rsid w:val="00CC6AD2"/>
    <w:rsid w:val="00CC6F04"/>
    <w:rsid w:val="00CC7B94"/>
    <w:rsid w:val="00CD4E4A"/>
    <w:rsid w:val="00CD6E8E"/>
    <w:rsid w:val="00CE0189"/>
    <w:rsid w:val="00CE161F"/>
    <w:rsid w:val="00CE164D"/>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21C4"/>
    <w:rsid w:val="00D14274"/>
    <w:rsid w:val="00D14E9B"/>
    <w:rsid w:val="00D15E5B"/>
    <w:rsid w:val="00D17C62"/>
    <w:rsid w:val="00D21586"/>
    <w:rsid w:val="00D215AF"/>
    <w:rsid w:val="00D21EA5"/>
    <w:rsid w:val="00D23A38"/>
    <w:rsid w:val="00D2574C"/>
    <w:rsid w:val="00D2655E"/>
    <w:rsid w:val="00D26D79"/>
    <w:rsid w:val="00D2725A"/>
    <w:rsid w:val="00D27C2B"/>
    <w:rsid w:val="00D31ED3"/>
    <w:rsid w:val="00D322CA"/>
    <w:rsid w:val="00D33363"/>
    <w:rsid w:val="00D33378"/>
    <w:rsid w:val="00D34943"/>
    <w:rsid w:val="00D34A2B"/>
    <w:rsid w:val="00D359D4"/>
    <w:rsid w:val="00D41E23"/>
    <w:rsid w:val="00D429EC"/>
    <w:rsid w:val="00D43D44"/>
    <w:rsid w:val="00D43EBB"/>
    <w:rsid w:val="00D44402"/>
    <w:rsid w:val="00D44E4E"/>
    <w:rsid w:val="00D46D26"/>
    <w:rsid w:val="00D5020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FD4"/>
    <w:rsid w:val="00D745F5"/>
    <w:rsid w:val="00D75392"/>
    <w:rsid w:val="00D7585E"/>
    <w:rsid w:val="00D759A3"/>
    <w:rsid w:val="00D82E32"/>
    <w:rsid w:val="00D83974"/>
    <w:rsid w:val="00D84133"/>
    <w:rsid w:val="00D8431C"/>
    <w:rsid w:val="00D85133"/>
    <w:rsid w:val="00D903B2"/>
    <w:rsid w:val="00D91607"/>
    <w:rsid w:val="00D92C82"/>
    <w:rsid w:val="00D93336"/>
    <w:rsid w:val="00D94314"/>
    <w:rsid w:val="00D95685"/>
    <w:rsid w:val="00D95BC7"/>
    <w:rsid w:val="00D96043"/>
    <w:rsid w:val="00D97779"/>
    <w:rsid w:val="00DA52F5"/>
    <w:rsid w:val="00DA73A3"/>
    <w:rsid w:val="00DB3080"/>
    <w:rsid w:val="00DB4E12"/>
    <w:rsid w:val="00DB5771"/>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0B6"/>
    <w:rsid w:val="00DF247C"/>
    <w:rsid w:val="00DF707E"/>
    <w:rsid w:val="00DF759D"/>
    <w:rsid w:val="00E003AF"/>
    <w:rsid w:val="00E018C3"/>
    <w:rsid w:val="00E01C15"/>
    <w:rsid w:val="00E03388"/>
    <w:rsid w:val="00E052B1"/>
    <w:rsid w:val="00E05886"/>
    <w:rsid w:val="00E10C02"/>
    <w:rsid w:val="00E137F4"/>
    <w:rsid w:val="00E164F2"/>
    <w:rsid w:val="00E16C17"/>
    <w:rsid w:val="00E16F61"/>
    <w:rsid w:val="00E20F6A"/>
    <w:rsid w:val="00E21A25"/>
    <w:rsid w:val="00E23303"/>
    <w:rsid w:val="00E253CA"/>
    <w:rsid w:val="00E26AA3"/>
    <w:rsid w:val="00E2771C"/>
    <w:rsid w:val="00E324D9"/>
    <w:rsid w:val="00E331FB"/>
    <w:rsid w:val="00E33DF4"/>
    <w:rsid w:val="00E35EDE"/>
    <w:rsid w:val="00E36528"/>
    <w:rsid w:val="00E378ED"/>
    <w:rsid w:val="00E40CF7"/>
    <w:rsid w:val="00E413B8"/>
    <w:rsid w:val="00E434EB"/>
    <w:rsid w:val="00E440C0"/>
    <w:rsid w:val="00E4683D"/>
    <w:rsid w:val="00E504A1"/>
    <w:rsid w:val="00E51231"/>
    <w:rsid w:val="00E52A67"/>
    <w:rsid w:val="00E5703D"/>
    <w:rsid w:val="00E60CDA"/>
    <w:rsid w:val="00E62FBE"/>
    <w:rsid w:val="00E63389"/>
    <w:rsid w:val="00E64597"/>
    <w:rsid w:val="00E65780"/>
    <w:rsid w:val="00E66AA1"/>
    <w:rsid w:val="00E66B6A"/>
    <w:rsid w:val="00E675A7"/>
    <w:rsid w:val="00E67861"/>
    <w:rsid w:val="00E71243"/>
    <w:rsid w:val="00E71362"/>
    <w:rsid w:val="00E7168A"/>
    <w:rsid w:val="00E71D25"/>
    <w:rsid w:val="00E7295C"/>
    <w:rsid w:val="00E73306"/>
    <w:rsid w:val="00E747C8"/>
    <w:rsid w:val="00E74FE4"/>
    <w:rsid w:val="00E81633"/>
    <w:rsid w:val="00E831A3"/>
    <w:rsid w:val="00E836A6"/>
    <w:rsid w:val="00E86733"/>
    <w:rsid w:val="00E8700D"/>
    <w:rsid w:val="00E9108A"/>
    <w:rsid w:val="00E94803"/>
    <w:rsid w:val="00E94B69"/>
    <w:rsid w:val="00E9588E"/>
    <w:rsid w:val="00E96813"/>
    <w:rsid w:val="00EA2369"/>
    <w:rsid w:val="00EA2BA6"/>
    <w:rsid w:val="00EA33B1"/>
    <w:rsid w:val="00EA639D"/>
    <w:rsid w:val="00EA74F2"/>
    <w:rsid w:val="00EA7F5C"/>
    <w:rsid w:val="00EB193D"/>
    <w:rsid w:val="00EB2A71"/>
    <w:rsid w:val="00EB31AE"/>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22B"/>
    <w:rsid w:val="00ED1338"/>
    <w:rsid w:val="00ED1475"/>
    <w:rsid w:val="00ED1AB4"/>
    <w:rsid w:val="00ED2C23"/>
    <w:rsid w:val="00ED2CF0"/>
    <w:rsid w:val="00ED4002"/>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4DCD"/>
    <w:rsid w:val="00F064B7"/>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48B7"/>
    <w:rsid w:val="00F47A0A"/>
    <w:rsid w:val="00F47A79"/>
    <w:rsid w:val="00F47F5C"/>
    <w:rsid w:val="00F51928"/>
    <w:rsid w:val="00F543B3"/>
    <w:rsid w:val="00F5643A"/>
    <w:rsid w:val="00F56596"/>
    <w:rsid w:val="00F603D9"/>
    <w:rsid w:val="00F62236"/>
    <w:rsid w:val="00F642AF"/>
    <w:rsid w:val="00F650B4"/>
    <w:rsid w:val="00F65901"/>
    <w:rsid w:val="00F66B95"/>
    <w:rsid w:val="00F7023E"/>
    <w:rsid w:val="00F706AA"/>
    <w:rsid w:val="00F70F54"/>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3926"/>
    <w:rsid w:val="00F945ED"/>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1A15B"/>
  <w14:defaultImageDpi w14:val="330"/>
  <w15:chartTrackingRefBased/>
  <w15:docId w15:val="{EBC04518-59FF-4D46-974A-6164089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A34F12"/>
    <w:pPr>
      <w:keepNext/>
      <w:keepLines/>
      <w:tabs>
        <w:tab w:val="left" w:pos="567"/>
        <w:tab w:val="left" w:pos="1134"/>
        <w:tab w:val="left" w:pos="1701"/>
        <w:tab w:val="left" w:pos="2268"/>
        <w:tab w:val="left" w:pos="2835"/>
        <w:tab w:val="left" w:pos="3402"/>
      </w:tabs>
      <w:spacing w:before="240" w:after="60" w:line="276" w:lineRule="auto"/>
      <w:outlineLvl w:val="1"/>
    </w:pPr>
    <w:rPr>
      <w:rFonts w:eastAsia="SimSun" w:cs="Times New Roman"/>
      <w:color w:val="1F3864" w:themeColor="accent1" w:themeShade="80"/>
      <w:sz w:val="36"/>
      <w:szCs w:val="36"/>
    </w:rPr>
  </w:style>
  <w:style w:type="paragraph" w:styleId="Heading3">
    <w:name w:val="heading 3"/>
    <w:aliases w:val="ŠHeading 3"/>
    <w:basedOn w:val="Normal"/>
    <w:next w:val="Normal"/>
    <w:link w:val="Heading3Char"/>
    <w:uiPriority w:val="8"/>
    <w:qFormat/>
    <w:rsid w:val="00A34F12"/>
    <w:pPr>
      <w:tabs>
        <w:tab w:val="left" w:pos="567"/>
        <w:tab w:val="left" w:pos="1134"/>
        <w:tab w:val="left" w:pos="1701"/>
        <w:tab w:val="left" w:pos="2268"/>
        <w:tab w:val="left" w:pos="2835"/>
        <w:tab w:val="left" w:pos="3402"/>
      </w:tabs>
      <w:spacing w:after="60" w:line="276" w:lineRule="auto"/>
      <w:outlineLvl w:val="2"/>
    </w:pPr>
    <w:rPr>
      <w:rFonts w:eastAsia="SimSun" w:cs="Times New Roman"/>
      <w:color w:val="1F3864" w:themeColor="accent1" w:themeShade="80"/>
      <w:sz w:val="32"/>
      <w:szCs w:val="32"/>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A34F12"/>
    <w:rPr>
      <w:rFonts w:ascii="Arial" w:eastAsia="SimSun" w:hAnsi="Arial" w:cs="Times New Roman"/>
      <w:color w:val="1F3864" w:themeColor="accent1" w:themeShade="80"/>
      <w:sz w:val="36"/>
      <w:szCs w:val="36"/>
      <w:lang w:val="en-AU"/>
    </w:rPr>
  </w:style>
  <w:style w:type="character" w:customStyle="1" w:styleId="Heading3Char">
    <w:name w:val="Heading 3 Char"/>
    <w:aliases w:val="ŠHeading 3 Char"/>
    <w:basedOn w:val="DefaultParagraphFont"/>
    <w:link w:val="Heading3"/>
    <w:uiPriority w:val="8"/>
    <w:rsid w:val="00A34F12"/>
    <w:rPr>
      <w:rFonts w:ascii="Arial" w:eastAsia="SimSun" w:hAnsi="Arial" w:cs="Times New Roman"/>
      <w:color w:val="1F3864" w:themeColor="accent1" w:themeShade="80"/>
      <w:sz w:val="32"/>
      <w:szCs w:val="32"/>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0E3B41"/>
    <w:pPr>
      <w:numPr>
        <w:numId w:val="18"/>
      </w:numPr>
      <w:contextualSpacing/>
    </w:pPr>
    <w:rPr>
      <w:rFonts w:cs="Arial"/>
    </w:r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Normal"/>
    <w:uiPriority w:val="16"/>
    <w:rsid w:val="000E3B41"/>
    <w:pPr>
      <w:numPr>
        <w:numId w:val="14"/>
      </w:numPr>
      <w:contextualSpacing/>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6"/>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7"/>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styleId="ListParagraph">
    <w:name w:val="List Paragraph"/>
    <w:aliases w:val="List dot"/>
    <w:basedOn w:val="Normal"/>
    <w:uiPriority w:val="34"/>
    <w:unhideWhenUsed/>
    <w:qFormat/>
    <w:rsid w:val="00B72A5B"/>
    <w:pPr>
      <w:ind w:left="720"/>
      <w:contextualSpacing/>
    </w:pPr>
  </w:style>
  <w:style w:type="character" w:styleId="CommentReference">
    <w:name w:val="annotation reference"/>
    <w:basedOn w:val="DefaultParagraphFont"/>
    <w:uiPriority w:val="99"/>
    <w:semiHidden/>
    <w:rsid w:val="008F4B85"/>
    <w:rPr>
      <w:sz w:val="16"/>
      <w:szCs w:val="16"/>
    </w:rPr>
  </w:style>
  <w:style w:type="paragraph" w:styleId="CommentText">
    <w:name w:val="annotation text"/>
    <w:basedOn w:val="Normal"/>
    <w:link w:val="CommentTextChar"/>
    <w:uiPriority w:val="99"/>
    <w:semiHidden/>
    <w:rsid w:val="008F4B85"/>
    <w:pPr>
      <w:spacing w:line="240" w:lineRule="auto"/>
    </w:pPr>
    <w:rPr>
      <w:sz w:val="20"/>
      <w:szCs w:val="20"/>
    </w:rPr>
  </w:style>
  <w:style w:type="character" w:customStyle="1" w:styleId="CommentTextChar">
    <w:name w:val="Comment Text Char"/>
    <w:basedOn w:val="DefaultParagraphFont"/>
    <w:link w:val="CommentText"/>
    <w:uiPriority w:val="99"/>
    <w:semiHidden/>
    <w:rsid w:val="008F4B85"/>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F4B85"/>
    <w:rPr>
      <w:b/>
      <w:bCs/>
    </w:rPr>
  </w:style>
  <w:style w:type="character" w:customStyle="1" w:styleId="CommentSubjectChar">
    <w:name w:val="Comment Subject Char"/>
    <w:basedOn w:val="CommentTextChar"/>
    <w:link w:val="CommentSubject"/>
    <w:uiPriority w:val="99"/>
    <w:semiHidden/>
    <w:rsid w:val="008F4B85"/>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1114">
      <w:bodyDiv w:val="1"/>
      <w:marLeft w:val="0"/>
      <w:marRight w:val="0"/>
      <w:marTop w:val="0"/>
      <w:marBottom w:val="0"/>
      <w:divBdr>
        <w:top w:val="none" w:sz="0" w:space="0" w:color="auto"/>
        <w:left w:val="none" w:sz="0" w:space="0" w:color="auto"/>
        <w:bottom w:val="none" w:sz="0" w:space="0" w:color="auto"/>
        <w:right w:val="none" w:sz="0" w:space="0" w:color="auto"/>
      </w:divBdr>
    </w:div>
    <w:div w:id="395251470">
      <w:bodyDiv w:val="1"/>
      <w:marLeft w:val="0"/>
      <w:marRight w:val="0"/>
      <w:marTop w:val="0"/>
      <w:marBottom w:val="0"/>
      <w:divBdr>
        <w:top w:val="none" w:sz="0" w:space="0" w:color="auto"/>
        <w:left w:val="none" w:sz="0" w:space="0" w:color="auto"/>
        <w:bottom w:val="none" w:sz="0" w:space="0" w:color="auto"/>
        <w:right w:val="none" w:sz="0" w:space="0" w:color="auto"/>
      </w:divBdr>
    </w:div>
    <w:div w:id="883370762">
      <w:bodyDiv w:val="1"/>
      <w:marLeft w:val="0"/>
      <w:marRight w:val="0"/>
      <w:marTop w:val="0"/>
      <w:marBottom w:val="0"/>
      <w:divBdr>
        <w:top w:val="none" w:sz="0" w:space="0" w:color="auto"/>
        <w:left w:val="none" w:sz="0" w:space="0" w:color="auto"/>
        <w:bottom w:val="none" w:sz="0" w:space="0" w:color="auto"/>
        <w:right w:val="none" w:sz="0" w:space="0" w:color="auto"/>
      </w:divBdr>
    </w:div>
    <w:div w:id="13832879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and-numeracy-teaching-strategi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D728FC49CF845BE40D16B00237FD2" ma:contentTypeVersion="13" ma:contentTypeDescription="Create a new document." ma:contentTypeScope="" ma:versionID="42ac4f587c41e8d311b1e34cf0e2d234">
  <xsd:schema xmlns:xsd="http://www.w3.org/2001/XMLSchema" xmlns:xs="http://www.w3.org/2001/XMLSchema" xmlns:p="http://schemas.microsoft.com/office/2006/metadata/properties" xmlns:ns3="3f9423fb-ba76-4985-902f-dcfe93c7b413" xmlns:ns4="03c9ec82-82de-4ace-839a-92f05f4cb7cf" targetNamespace="http://schemas.microsoft.com/office/2006/metadata/properties" ma:root="true" ma:fieldsID="45efac3da9bc7232db87c8229442c72c" ns3:_="" ns4:_="">
    <xsd:import namespace="3f9423fb-ba76-4985-902f-dcfe93c7b413"/>
    <xsd:import namespace="03c9ec82-82de-4ace-839a-92f05f4cb7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423fb-ba76-4985-902f-dcfe93c7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9ec82-82de-4ace-839a-92f05f4cb7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0C25-FDFE-408B-97F9-50DADCA9DF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9423fb-ba76-4985-902f-dcfe93c7b413"/>
    <ds:schemaRef ds:uri="http://schemas.microsoft.com/office/infopath/2007/PartnerControls"/>
    <ds:schemaRef ds:uri="03c9ec82-82de-4ace-839a-92f05f4cb7cf"/>
    <ds:schemaRef ds:uri="http://www.w3.org/XML/1998/namespace"/>
    <ds:schemaRef ds:uri="http://purl.org/dc/dcmitype/"/>
  </ds:schemaRefs>
</ds:datastoreItem>
</file>

<file path=customXml/itemProps2.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3.xml><?xml version="1.0" encoding="utf-8"?>
<ds:datastoreItem xmlns:ds="http://schemas.openxmlformats.org/officeDocument/2006/customXml" ds:itemID="{1EC060BC-78AA-48C7-B2F6-FB4C0F9B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423fb-ba76-4985-902f-dcfe93c7b413"/>
    <ds:schemaRef ds:uri="03c9ec82-82de-4ace-839a-92f05f4cb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0D480-9E97-47EA-83AF-328F7E58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Guide for using literacy and numeracy teaching strategies</vt:lpstr>
    </vt:vector>
  </TitlesOfParts>
  <Manager/>
  <Company/>
  <LinksUpToDate>false</LinksUpToDate>
  <CharactersWithSpaces>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using literacy and numeracy teaching strategies</dc:title>
  <dc:subject/>
  <dc:creator>Jen Starink</dc:creator>
  <cp:keywords/>
  <dc:description/>
  <cp:lastModifiedBy>Cristina Kennett</cp:lastModifiedBy>
  <cp:revision>3</cp:revision>
  <dcterms:created xsi:type="dcterms:W3CDTF">2020-05-07T12:38:00Z</dcterms:created>
  <dcterms:modified xsi:type="dcterms:W3CDTF">2020-05-07T12:43:00Z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0x01010094CD728FC49CF845BE40D16B00237FD2</vt:lpwstr>
  </property>
</Properties>
</file>